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D1A" w14:textId="45D56D65" w:rsidR="006B6478" w:rsidRDefault="005A718E" w:rsidP="00542C1C">
      <w:pPr>
        <w:spacing w:line="300" w:lineRule="auto"/>
        <w:rPr>
          <w:rFonts w:ascii="Times New Roman" w:hAnsi="Times New Roman" w:cs="Times New Roman"/>
          <w:sz w:val="26"/>
          <w:szCs w:val="26"/>
        </w:rPr>
      </w:pPr>
      <w:r w:rsidRPr="007D2841">
        <w:rPr>
          <w:noProof/>
          <w:lang w:eastAsia="it-IT"/>
        </w:rPr>
        <w:drawing>
          <wp:anchor distT="0" distB="0" distL="114300" distR="114300" simplePos="0" relativeHeight="251650048" behindDoc="0" locked="0" layoutInCell="1" allowOverlap="1" wp14:anchorId="0D573F81" wp14:editId="79052C35">
            <wp:simplePos x="0" y="0"/>
            <wp:positionH relativeFrom="margin">
              <wp:posOffset>4053205</wp:posOffset>
            </wp:positionH>
            <wp:positionV relativeFrom="paragraph">
              <wp:posOffset>-253365</wp:posOffset>
            </wp:positionV>
            <wp:extent cx="1295400" cy="490855"/>
            <wp:effectExtent l="0" t="0" r="0" b="4445"/>
            <wp:wrapNone/>
            <wp:docPr id="21"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g">
            <w:drawing>
              <wp:anchor distT="0" distB="0" distL="114300" distR="114300" simplePos="0" relativeHeight="251671552" behindDoc="0" locked="0" layoutInCell="1" allowOverlap="1" wp14:anchorId="7527C6AA" wp14:editId="0383FC6D">
                <wp:simplePos x="0" y="0"/>
                <wp:positionH relativeFrom="column">
                  <wp:posOffset>3787140</wp:posOffset>
                </wp:positionH>
                <wp:positionV relativeFrom="paragraph">
                  <wp:posOffset>-1348105</wp:posOffset>
                </wp:positionV>
                <wp:extent cx="53975" cy="2622550"/>
                <wp:effectExtent l="0" t="0" r="3175" b="6350"/>
                <wp:wrapNone/>
                <wp:docPr id="1" name="Gruppo 1"/>
                <wp:cNvGraphicFramePr/>
                <a:graphic xmlns:a="http://schemas.openxmlformats.org/drawingml/2006/main">
                  <a:graphicData uri="http://schemas.microsoft.com/office/word/2010/wordprocessingGroup">
                    <wpg:wgp>
                      <wpg:cNvGrpSpPr/>
                      <wpg:grpSpPr>
                        <a:xfrm>
                          <a:off x="0" y="0"/>
                          <a:ext cx="53975" cy="2622550"/>
                          <a:chOff x="0" y="0"/>
                          <a:chExt cx="54188" cy="2622762"/>
                        </a:xfrm>
                      </wpg:grpSpPr>
                      <wps:wsp>
                        <wps:cNvPr id="22" name="Rettangolo 22"/>
                        <wps:cNvSpPr>
                          <a:spLocks/>
                        </wps:cNvSpPr>
                        <wps:spPr>
                          <a:xfrm rot="5400000" flipH="1">
                            <a:off x="-404812" y="404812"/>
                            <a:ext cx="863600" cy="53975"/>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ttangolo 23"/>
                        <wps:cNvSpPr>
                          <a:spLocks/>
                        </wps:cNvSpPr>
                        <wps:spPr>
                          <a:xfrm rot="5400000" flipH="1">
                            <a:off x="-404812" y="1287462"/>
                            <a:ext cx="863600" cy="53975"/>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ttangolo 25"/>
                        <wps:cNvSpPr>
                          <a:spLocks/>
                        </wps:cNvSpPr>
                        <wps:spPr>
                          <a:xfrm rot="5400000" flipH="1">
                            <a:off x="-404812" y="2163762"/>
                            <a:ext cx="864000" cy="54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A20E29" id="Gruppo 1" o:spid="_x0000_s1026" style="position:absolute;margin-left:298.2pt;margin-top:-106.15pt;width:4.25pt;height:206.5pt;z-index:251671552" coordsize="541,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">
                <v:rect id="Rettangolo 22" o:spid="_x0000_s1027" style="position:absolute;left:-4048;top:4048;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" fillcolor="#900" stroked="f" strokeweight="2pt">
                  <v:fill opacity="52428f"/>
                </v:rect>
                <v:rect id="Rettangolo 23" o:spid="_x0000_s1028" style="position:absolute;left:-4048;top:12874;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" fillcolor="#900" stroked="f" strokeweight="2pt">
                  <v:fill opacity="39321f"/>
                </v:rect>
                <v:rect id="Rettangolo 25" o:spid="_x0000_s1029" style="position:absolute;left:-4049;top:21637;width:8640;height:5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" fillcolor="#900" stroked="f" strokeweight="2pt">
                  <v:fill opacity="26214f"/>
                </v:rect>
              </v:group>
            </w:pict>
          </mc:Fallback>
        </mc:AlternateContent>
      </w:r>
      <w:r w:rsidRPr="00FF2487">
        <w:rPr>
          <w:noProof/>
          <w:lang w:eastAsia="it-IT"/>
        </w:rPr>
        <w:drawing>
          <wp:anchor distT="0" distB="0" distL="114300" distR="114300" simplePos="0" relativeHeight="251648000" behindDoc="0" locked="0" layoutInCell="1" allowOverlap="1" wp14:anchorId="33E0591F" wp14:editId="7977A481">
            <wp:simplePos x="0" y="0"/>
            <wp:positionH relativeFrom="margin">
              <wp:posOffset>3892550</wp:posOffset>
            </wp:positionH>
            <wp:positionV relativeFrom="paragraph">
              <wp:posOffset>-1176020</wp:posOffset>
            </wp:positionV>
            <wp:extent cx="1691640" cy="551815"/>
            <wp:effectExtent l="0" t="0" r="3810" b="635"/>
            <wp:wrapNone/>
            <wp:docPr id="2"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551815"/>
                    </a:xfrm>
                    <a:prstGeom prst="rect">
                      <a:avLst/>
                    </a:prstGeom>
                  </pic:spPr>
                </pic:pic>
              </a:graphicData>
            </a:graphic>
            <wp14:sizeRelH relativeFrom="margin">
              <wp14:pctWidth>0</wp14:pctWidth>
            </wp14:sizeRelH>
            <wp14:sizeRelV relativeFrom="margin">
              <wp14:pctHeight>0</wp14:pctHeight>
            </wp14:sizeRelV>
          </wp:anchor>
        </w:drawing>
      </w:r>
    </w:p>
    <w:p w14:paraId="599D1BF7" w14:textId="0B01C247" w:rsidR="006B6478" w:rsidRPr="006B6478" w:rsidRDefault="005A718E" w:rsidP="006B6478">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0" locked="0" layoutInCell="1" allowOverlap="1" wp14:anchorId="3930598D" wp14:editId="56DFD116">
            <wp:simplePos x="0" y="0"/>
            <wp:positionH relativeFrom="margin">
              <wp:posOffset>4022090</wp:posOffset>
            </wp:positionH>
            <wp:positionV relativeFrom="paragraph">
              <wp:posOffset>203200</wp:posOffset>
            </wp:positionV>
            <wp:extent cx="1332000" cy="639267"/>
            <wp:effectExtent l="0" t="0" r="1905" b="889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000" cy="639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42354" w14:textId="0824E8C0" w:rsidR="006B6478" w:rsidRPr="006B6478" w:rsidRDefault="006B6478" w:rsidP="006B6478">
      <w:pPr>
        <w:rPr>
          <w:rFonts w:ascii="Times New Roman" w:hAnsi="Times New Roman" w:cs="Times New Roman"/>
          <w:sz w:val="26"/>
          <w:szCs w:val="26"/>
        </w:rPr>
      </w:pPr>
    </w:p>
    <w:p w14:paraId="2BF7FC0A" w14:textId="7270B4F4" w:rsidR="006B6478" w:rsidRPr="006B6478" w:rsidRDefault="006B6478" w:rsidP="006B6478">
      <w:pPr>
        <w:rPr>
          <w:rFonts w:ascii="Times New Roman" w:hAnsi="Times New Roman" w:cs="Times New Roman"/>
          <w:sz w:val="26"/>
          <w:szCs w:val="26"/>
        </w:rPr>
      </w:pPr>
    </w:p>
    <w:p w14:paraId="08B5A7BB" w14:textId="7DB98472" w:rsidR="006B6478" w:rsidRDefault="00CA6091" w:rsidP="006B6478">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34688" behindDoc="0" locked="0" layoutInCell="1" allowOverlap="1" wp14:anchorId="6D52B039" wp14:editId="60931D32">
                <wp:simplePos x="0" y="0"/>
                <wp:positionH relativeFrom="column">
                  <wp:posOffset>228216</wp:posOffset>
                </wp:positionH>
                <wp:positionV relativeFrom="paragraph">
                  <wp:posOffset>139065</wp:posOffset>
                </wp:positionV>
                <wp:extent cx="1628140" cy="251460"/>
                <wp:effectExtent l="0" t="0" r="0" b="0"/>
                <wp:wrapNone/>
                <wp:docPr id="238" name="Casella di testo 238"/>
                <wp:cNvGraphicFramePr/>
                <a:graphic xmlns:a="http://schemas.openxmlformats.org/drawingml/2006/main">
                  <a:graphicData uri="http://schemas.microsoft.com/office/word/2010/wordprocessingShape">
                    <wps:wsp>
                      <wps:cNvSpPr txBox="1"/>
                      <wps:spPr>
                        <a:xfrm>
                          <a:off x="0" y="0"/>
                          <a:ext cx="1628140" cy="251460"/>
                        </a:xfrm>
                        <a:prstGeom prst="rect">
                          <a:avLst/>
                        </a:prstGeom>
                        <a:solidFill>
                          <a:srgbClr val="990000"/>
                        </a:solidFill>
                        <a:ln w="6350">
                          <a:noFill/>
                        </a:ln>
                      </wps:spPr>
                      <wps:txbx>
                        <w:txbxContent>
                          <w:p w14:paraId="403EFC0E" w14:textId="212D2A6C" w:rsidR="006B6478" w:rsidRPr="005972A7" w:rsidRDefault="006D2F9D" w:rsidP="006D2F9D">
                            <w:pPr>
                              <w:spacing w:after="0" w:line="240" w:lineRule="auto"/>
                              <w:jc w:val="center"/>
                              <w:rPr>
                                <w:b/>
                                <w:bCs/>
                                <w:smallCaps/>
                                <w:sz w:val="28"/>
                                <w:szCs w:val="28"/>
                              </w:rPr>
                            </w:pPr>
                            <w:r>
                              <w:rPr>
                                <w:b/>
                                <w:bCs/>
                                <w:smallCaps/>
                                <w:sz w:val="28"/>
                                <w:szCs w:val="28"/>
                              </w:rPr>
                              <w:t>DOCUMENTO</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type w14:anchorId="6D52B039" id="_x0000_t202" coordsize="21600,21600" o:spt="202" path="m,l,21600r21600,l21600,xe">
                <v:stroke joinstyle="miter"/>
                <v:path gradientshapeok="t" o:connecttype="rect"/>
              </v:shapetype>
              <v:shape id="Casella di testo 238" o:spid="_x0000_s1026" type="#_x0000_t202" style="position:absolute;margin-left:17.95pt;margin-top:10.95pt;width:128.2pt;height:19.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" fillcolor="#900" stroked="f" strokeweight=".5pt">
                <v:textbox inset="1mm,0,1mm,0">
                  <w:txbxContent>
                    <w:p w14:paraId="403EFC0E" w14:textId="212D2A6C" w:rsidR="006B6478" w:rsidRPr="005972A7" w:rsidRDefault="006D2F9D" w:rsidP="006D2F9D">
                      <w:pPr>
                        <w:spacing w:after="0" w:line="240" w:lineRule="auto"/>
                        <w:jc w:val="center"/>
                        <w:rPr>
                          <w:b/>
                          <w:bCs/>
                          <w:smallCaps/>
                          <w:sz w:val="28"/>
                          <w:szCs w:val="28"/>
                        </w:rPr>
                      </w:pPr>
                      <w:r>
                        <w:rPr>
                          <w:b/>
                          <w:bCs/>
                          <w:smallCaps/>
                          <w:sz w:val="28"/>
                          <w:szCs w:val="28"/>
                        </w:rPr>
                        <w:t>DOCUMENTO</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5712" behindDoc="0" locked="0" layoutInCell="1" allowOverlap="1" wp14:anchorId="2EF02144" wp14:editId="06D3DF22">
                <wp:simplePos x="0" y="0"/>
                <wp:positionH relativeFrom="column">
                  <wp:posOffset>-154556</wp:posOffset>
                </wp:positionH>
                <wp:positionV relativeFrom="paragraph">
                  <wp:posOffset>139065</wp:posOffset>
                </wp:positionV>
                <wp:extent cx="359410" cy="251460"/>
                <wp:effectExtent l="0" t="0" r="2540" b="0"/>
                <wp:wrapNone/>
                <wp:docPr id="231" name="Rettangolo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6945" id="Rettangolo 231" o:spid="_x0000_s1026" style="position:absolute;margin-left:-12.15pt;margin-top:10.95pt;width:28.3pt;height:19.8pt;rotation:180;flip:x y;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" fillcolor="#900" stroked="f" strokeweight="2pt">
                <v:fill opacity="52428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6736" behindDoc="0" locked="0" layoutInCell="1" allowOverlap="1" wp14:anchorId="5105F902" wp14:editId="0923D846">
                <wp:simplePos x="0" y="0"/>
                <wp:positionH relativeFrom="column">
                  <wp:posOffset>-537328</wp:posOffset>
                </wp:positionH>
                <wp:positionV relativeFrom="paragraph">
                  <wp:posOffset>139065</wp:posOffset>
                </wp:positionV>
                <wp:extent cx="359410" cy="251460"/>
                <wp:effectExtent l="0" t="0" r="2540" b="0"/>
                <wp:wrapNone/>
                <wp:docPr id="232" name="Rettangolo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C65B7" id="Rettangolo 232" o:spid="_x0000_s1026" style="position:absolute;margin-left:-42.3pt;margin-top:10.95pt;width:28.3pt;height:19.8pt;rotation:180;flip:x y;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" fillcolor="#900" stroked="f" strokeweight="2pt">
                <v:fill opacity="39321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7760" behindDoc="0" locked="0" layoutInCell="1" allowOverlap="1" wp14:anchorId="3B4623B6" wp14:editId="3F2C9C65">
                <wp:simplePos x="0" y="0"/>
                <wp:positionH relativeFrom="column">
                  <wp:posOffset>-877570</wp:posOffset>
                </wp:positionH>
                <wp:positionV relativeFrom="paragraph">
                  <wp:posOffset>139065</wp:posOffset>
                </wp:positionV>
                <wp:extent cx="324000" cy="252000"/>
                <wp:effectExtent l="0" t="0" r="0" b="0"/>
                <wp:wrapNone/>
                <wp:docPr id="233" name="Rettangolo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24000" cy="252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564DF" id="Rettangolo 233" o:spid="_x0000_s1026" style="position:absolute;margin-left:-69.1pt;margin-top:10.95pt;width:25.5pt;height:19.85pt;rotation:180;flip:x y;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" fillcolor="#900" stroked="f" strokeweight="2pt">
                <v:fill opacity="26214f"/>
              </v:rect>
            </w:pict>
          </mc:Fallback>
        </mc:AlternateContent>
      </w:r>
    </w:p>
    <w:p w14:paraId="473FE573" w14:textId="2D8DC873" w:rsidR="006B6478" w:rsidRDefault="006B6478" w:rsidP="006B6478">
      <w:pPr>
        <w:tabs>
          <w:tab w:val="left" w:pos="6615"/>
        </w:tabs>
        <w:rPr>
          <w:rFonts w:ascii="Times New Roman" w:hAnsi="Times New Roman" w:cs="Times New Roman"/>
          <w:sz w:val="26"/>
          <w:szCs w:val="26"/>
        </w:rPr>
      </w:pPr>
      <w:r>
        <w:rPr>
          <w:rFonts w:ascii="Times New Roman" w:hAnsi="Times New Roman" w:cs="Times New Roman"/>
          <w:sz w:val="26"/>
          <w:szCs w:val="26"/>
        </w:rPr>
        <w:tab/>
      </w:r>
    </w:p>
    <w:p w14:paraId="4E647826" w14:textId="2777FDD3" w:rsidR="006B6478" w:rsidRDefault="006B6478" w:rsidP="006B6478">
      <w:pPr>
        <w:rPr>
          <w:rFonts w:ascii="Times New Roman" w:hAnsi="Times New Roman" w:cs="Times New Roman"/>
          <w:sz w:val="26"/>
          <w:szCs w:val="26"/>
        </w:rPr>
      </w:pPr>
    </w:p>
    <w:p w14:paraId="5155D7B8" w14:textId="107C11F9" w:rsidR="006B6478" w:rsidRDefault="006B6478" w:rsidP="006B6478">
      <w:pPr>
        <w:rPr>
          <w:rFonts w:ascii="Times New Roman" w:hAnsi="Times New Roman" w:cs="Times New Roman"/>
          <w:sz w:val="26"/>
          <w:szCs w:val="26"/>
        </w:rPr>
      </w:pPr>
    </w:p>
    <w:p w14:paraId="0A722A35" w14:textId="46FA3779" w:rsidR="002B316E" w:rsidRDefault="002B316E" w:rsidP="006B6478">
      <w:pPr>
        <w:rPr>
          <w:rFonts w:ascii="Times New Roman" w:hAnsi="Times New Roman" w:cs="Times New Roman"/>
          <w:sz w:val="26"/>
          <w:szCs w:val="26"/>
        </w:rPr>
      </w:pPr>
    </w:p>
    <w:p w14:paraId="4B8C2925" w14:textId="22D42B26" w:rsidR="00571BC1" w:rsidRDefault="00571BC1" w:rsidP="00571BC1">
      <w:pPr>
        <w:pStyle w:val="Paragrafoelenco"/>
        <w:ind w:left="567" w:right="-2"/>
        <w:jc w:val="center"/>
        <w:rPr>
          <w:rFonts w:ascii="Calibri" w:eastAsia="Calibri" w:hAnsi="Calibri" w:cs="Calibri"/>
          <w:b/>
          <w:bCs/>
          <w:smallCaps/>
          <w:spacing w:val="-6"/>
          <w:sz w:val="52"/>
          <w:szCs w:val="52"/>
        </w:rPr>
      </w:pPr>
      <w:r w:rsidRPr="008A44BE">
        <w:rPr>
          <w:rFonts w:ascii="Calibri" w:eastAsia="Calibri" w:hAnsi="Calibri" w:cs="Calibri"/>
          <w:b/>
          <w:bCs/>
          <w:smallCaps/>
          <w:spacing w:val="-6"/>
          <w:sz w:val="52"/>
          <w:szCs w:val="52"/>
        </w:rPr>
        <w:t>Parere dell</w:t>
      </w:r>
      <w:r w:rsidR="003B5E60">
        <w:rPr>
          <w:rFonts w:ascii="Calibri" w:eastAsia="Calibri" w:hAnsi="Calibri" w:cs="Calibri"/>
          <w:b/>
          <w:bCs/>
          <w:smallCaps/>
          <w:spacing w:val="-6"/>
          <w:sz w:val="52"/>
          <w:szCs w:val="52"/>
        </w:rPr>
        <w:t>’</w:t>
      </w:r>
      <w:r w:rsidRPr="008A44BE">
        <w:rPr>
          <w:rFonts w:ascii="Calibri" w:eastAsia="Calibri" w:hAnsi="Calibri" w:cs="Calibri"/>
          <w:b/>
          <w:bCs/>
          <w:smallCaps/>
          <w:spacing w:val="-6"/>
          <w:sz w:val="52"/>
          <w:szCs w:val="52"/>
        </w:rPr>
        <w:t xml:space="preserve">organo di revisione sulla proposta di bilancio di previsione </w:t>
      </w:r>
    </w:p>
    <w:p w14:paraId="624EBBC5" w14:textId="632709FF" w:rsidR="006D2F9D" w:rsidRDefault="00571BC1" w:rsidP="00571BC1">
      <w:pPr>
        <w:pStyle w:val="Paragrafoelenco"/>
        <w:ind w:left="567" w:right="-2"/>
        <w:jc w:val="center"/>
        <w:rPr>
          <w:rFonts w:ascii="Calibri" w:eastAsia="Calibri" w:hAnsi="Calibri" w:cs="Calibri"/>
          <w:b/>
          <w:bCs/>
          <w:smallCaps/>
          <w:spacing w:val="-6"/>
          <w:sz w:val="48"/>
          <w:szCs w:val="48"/>
        </w:rPr>
      </w:pPr>
      <w:r w:rsidRPr="008A44BE">
        <w:rPr>
          <w:rFonts w:ascii="Calibri" w:eastAsia="Calibri" w:hAnsi="Calibri" w:cs="Calibri"/>
          <w:b/>
          <w:bCs/>
          <w:smallCaps/>
          <w:spacing w:val="-6"/>
          <w:sz w:val="48"/>
          <w:szCs w:val="48"/>
        </w:rPr>
        <w:t>2023-2025</w:t>
      </w:r>
    </w:p>
    <w:p w14:paraId="6BB7577F" w14:textId="77777777" w:rsidR="00290A6B" w:rsidRDefault="00290A6B" w:rsidP="00571BC1">
      <w:pPr>
        <w:pStyle w:val="Paragrafoelenco"/>
        <w:ind w:left="567" w:right="-2"/>
        <w:jc w:val="center"/>
        <w:rPr>
          <w:rFonts w:cstheme="minorHAnsi"/>
          <w:b/>
          <w:bCs/>
          <w:smallCaps/>
          <w:sz w:val="52"/>
          <w:szCs w:val="52"/>
        </w:rPr>
      </w:pPr>
    </w:p>
    <w:p w14:paraId="58C9DEC9" w14:textId="31DF799C" w:rsidR="002B316E" w:rsidRPr="002B316E" w:rsidRDefault="006D2F9D" w:rsidP="00290A6B">
      <w:pPr>
        <w:pStyle w:val="Paragrafoelenco"/>
        <w:ind w:left="567" w:right="-2"/>
        <w:jc w:val="center"/>
        <w:rPr>
          <w:rFonts w:cstheme="minorHAnsi"/>
          <w:b/>
          <w:bCs/>
          <w:smallCaps/>
          <w:sz w:val="52"/>
          <w:szCs w:val="52"/>
        </w:rPr>
      </w:pPr>
      <w:r>
        <w:rPr>
          <w:rFonts w:cstheme="minorHAnsi"/>
          <w:b/>
          <w:bCs/>
          <w:smallCaps/>
          <w:sz w:val="52"/>
          <w:szCs w:val="52"/>
        </w:rPr>
        <w:t xml:space="preserve">CHECK LIST – </w:t>
      </w:r>
      <w:r w:rsidR="000F01BC">
        <w:rPr>
          <w:rFonts w:cstheme="minorHAnsi"/>
          <w:b/>
          <w:bCs/>
          <w:smallCaps/>
          <w:sz w:val="52"/>
          <w:szCs w:val="52"/>
        </w:rPr>
        <w:t>NOTA INTEGRATIVA</w:t>
      </w:r>
    </w:p>
    <w:p w14:paraId="37C033F2" w14:textId="77777777" w:rsidR="002B316E" w:rsidRDefault="002B316E" w:rsidP="006B6478">
      <w:pPr>
        <w:rPr>
          <w:rFonts w:ascii="Times New Roman" w:hAnsi="Times New Roman" w:cs="Times New Roman"/>
          <w:sz w:val="26"/>
          <w:szCs w:val="26"/>
        </w:rPr>
      </w:pPr>
    </w:p>
    <w:p w14:paraId="5AAD81EA" w14:textId="77777777" w:rsidR="009071AE" w:rsidRDefault="009071AE" w:rsidP="006B6478">
      <w:pPr>
        <w:rPr>
          <w:rFonts w:ascii="Times New Roman" w:hAnsi="Times New Roman" w:cs="Times New Roman"/>
          <w:sz w:val="26"/>
          <w:szCs w:val="26"/>
        </w:rPr>
      </w:pPr>
    </w:p>
    <w:p w14:paraId="239D2C6D" w14:textId="77777777" w:rsidR="009071AE" w:rsidRDefault="009071AE" w:rsidP="006B6478">
      <w:pPr>
        <w:rPr>
          <w:rFonts w:ascii="Times New Roman" w:hAnsi="Times New Roman" w:cs="Times New Roman"/>
          <w:sz w:val="26"/>
          <w:szCs w:val="26"/>
        </w:rPr>
      </w:pPr>
    </w:p>
    <w:p w14:paraId="1A95BBE4" w14:textId="77777777" w:rsidR="009071AE" w:rsidRDefault="009071AE" w:rsidP="006B6478">
      <w:pPr>
        <w:rPr>
          <w:rFonts w:ascii="Times New Roman" w:hAnsi="Times New Roman" w:cs="Times New Roman"/>
          <w:sz w:val="26"/>
          <w:szCs w:val="26"/>
        </w:rPr>
      </w:pPr>
    </w:p>
    <w:p w14:paraId="638BEEA6" w14:textId="77777777" w:rsidR="009071AE" w:rsidRDefault="009071AE" w:rsidP="006B6478">
      <w:pPr>
        <w:rPr>
          <w:rFonts w:ascii="Times New Roman" w:hAnsi="Times New Roman" w:cs="Times New Roman"/>
          <w:sz w:val="26"/>
          <w:szCs w:val="26"/>
        </w:rPr>
      </w:pPr>
    </w:p>
    <w:p w14:paraId="1BCB838C" w14:textId="77777777" w:rsidR="009071AE" w:rsidRDefault="009071AE" w:rsidP="006B6478">
      <w:pPr>
        <w:rPr>
          <w:rFonts w:ascii="Times New Roman" w:hAnsi="Times New Roman" w:cs="Times New Roman"/>
          <w:sz w:val="26"/>
          <w:szCs w:val="26"/>
        </w:rPr>
      </w:pPr>
    </w:p>
    <w:p w14:paraId="45E44354" w14:textId="77777777" w:rsidR="009071AE" w:rsidRDefault="009071AE" w:rsidP="006B6478">
      <w:pPr>
        <w:rPr>
          <w:rFonts w:ascii="Times New Roman" w:hAnsi="Times New Roman" w:cs="Times New Roman"/>
          <w:sz w:val="26"/>
          <w:szCs w:val="26"/>
        </w:rPr>
      </w:pPr>
    </w:p>
    <w:p w14:paraId="1BBC0A56" w14:textId="77777777" w:rsidR="009071AE" w:rsidRDefault="009071AE" w:rsidP="006B6478">
      <w:pPr>
        <w:rPr>
          <w:rFonts w:ascii="Times New Roman" w:hAnsi="Times New Roman" w:cs="Times New Roman"/>
          <w:sz w:val="26"/>
          <w:szCs w:val="26"/>
        </w:rPr>
      </w:pPr>
    </w:p>
    <w:tbl>
      <w:tblPr>
        <w:tblW w:w="9527" w:type="dxa"/>
        <w:tblInd w:w="-318" w:type="dxa"/>
        <w:tblBorders>
          <w:top w:val="single" w:sz="6" w:space="0" w:color="003399"/>
          <w:left w:val="single" w:sz="18" w:space="0" w:color="003399"/>
          <w:bottom w:val="single" w:sz="18" w:space="0" w:color="003399"/>
          <w:right w:val="single" w:sz="18" w:space="0" w:color="003399"/>
          <w:insideH w:val="single" w:sz="6" w:space="0" w:color="003399"/>
          <w:insideV w:val="single" w:sz="6" w:space="0" w:color="003399"/>
        </w:tblBorders>
        <w:tblLook w:val="04A0" w:firstRow="1" w:lastRow="0" w:firstColumn="1" w:lastColumn="0" w:noHBand="0" w:noVBand="1"/>
      </w:tblPr>
      <w:tblGrid>
        <w:gridCol w:w="5529"/>
        <w:gridCol w:w="1134"/>
        <w:gridCol w:w="1276"/>
        <w:gridCol w:w="1588"/>
      </w:tblGrid>
      <w:tr w:rsidR="00422513" w:rsidRPr="00422513" w14:paraId="57A32FF2" w14:textId="77777777" w:rsidTr="0023087B">
        <w:trPr>
          <w:trHeight w:hRule="exact" w:val="397"/>
        </w:trPr>
        <w:tc>
          <w:tcPr>
            <w:tcW w:w="5529" w:type="dxa"/>
            <w:tcBorders>
              <w:bottom w:val="single" w:sz="6" w:space="0" w:color="003399"/>
              <w:right w:val="single" w:sz="18" w:space="0" w:color="FFFFFF" w:themeColor="background1"/>
            </w:tcBorders>
            <w:shd w:val="clear" w:color="auto" w:fill="003399"/>
            <w:vAlign w:val="center"/>
          </w:tcPr>
          <w:p w14:paraId="55A90014" w14:textId="508E7B22" w:rsidR="00422513" w:rsidRPr="00422513" w:rsidRDefault="00422513" w:rsidP="00422513">
            <w:pPr>
              <w:spacing w:after="0" w:line="240" w:lineRule="auto"/>
              <w:jc w:val="center"/>
              <w:rPr>
                <w:rFonts w:eastAsia="Times New Roman" w:cstheme="minorHAnsi"/>
                <w:b/>
                <w:bCs/>
                <w:smallCaps/>
                <w:sz w:val="28"/>
                <w:szCs w:val="28"/>
                <w:lang w:eastAsia="it-IT"/>
              </w:rPr>
            </w:pPr>
            <w:r w:rsidRPr="00422513">
              <w:rPr>
                <w:rFonts w:eastAsia="Times New Roman" w:cstheme="minorHAnsi"/>
                <w:b/>
                <w:bCs/>
                <w:smallCaps/>
                <w:sz w:val="28"/>
                <w:szCs w:val="28"/>
                <w:lang w:eastAsia="it-IT"/>
              </w:rPr>
              <w:lastRenderedPageBreak/>
              <w:t>Descrizione</w:t>
            </w:r>
          </w:p>
        </w:tc>
        <w:tc>
          <w:tcPr>
            <w:tcW w:w="1134" w:type="dxa"/>
            <w:tcBorders>
              <w:left w:val="single" w:sz="18" w:space="0" w:color="FFFFFF" w:themeColor="background1"/>
              <w:bottom w:val="single" w:sz="6" w:space="0" w:color="003399"/>
              <w:right w:val="single" w:sz="18" w:space="0" w:color="FFFFFF" w:themeColor="background1"/>
            </w:tcBorders>
            <w:shd w:val="clear" w:color="auto" w:fill="003399"/>
            <w:vAlign w:val="center"/>
          </w:tcPr>
          <w:p w14:paraId="4F74E47E" w14:textId="51EA72AF" w:rsidR="00422513" w:rsidRPr="00422513" w:rsidRDefault="00422513" w:rsidP="00422513">
            <w:pPr>
              <w:spacing w:after="0" w:line="240" w:lineRule="auto"/>
              <w:jc w:val="center"/>
              <w:rPr>
                <w:rFonts w:eastAsia="Times New Roman" w:cstheme="minorHAnsi"/>
                <w:b/>
                <w:bCs/>
                <w:smallCaps/>
                <w:sz w:val="28"/>
                <w:szCs w:val="28"/>
                <w:lang w:eastAsia="it-IT"/>
              </w:rPr>
            </w:pPr>
            <w:r w:rsidRPr="00422513">
              <w:rPr>
                <w:rFonts w:eastAsia="Times New Roman" w:cstheme="minorHAnsi"/>
                <w:b/>
                <w:bCs/>
                <w:smallCaps/>
                <w:sz w:val="28"/>
                <w:szCs w:val="28"/>
                <w:lang w:eastAsia="it-IT"/>
              </w:rPr>
              <w:t>Si</w:t>
            </w:r>
          </w:p>
        </w:tc>
        <w:tc>
          <w:tcPr>
            <w:tcW w:w="1276" w:type="dxa"/>
            <w:tcBorders>
              <w:left w:val="single" w:sz="18" w:space="0" w:color="FFFFFF" w:themeColor="background1"/>
              <w:bottom w:val="single" w:sz="6" w:space="0" w:color="003399"/>
              <w:right w:val="single" w:sz="18" w:space="0" w:color="FFFFFF" w:themeColor="background1"/>
            </w:tcBorders>
            <w:shd w:val="clear" w:color="auto" w:fill="003399"/>
            <w:vAlign w:val="center"/>
          </w:tcPr>
          <w:p w14:paraId="526E9ED2" w14:textId="3D8B9895" w:rsidR="00422513" w:rsidRPr="00422513" w:rsidRDefault="00422513" w:rsidP="00422513">
            <w:pPr>
              <w:spacing w:after="0" w:line="240" w:lineRule="auto"/>
              <w:jc w:val="center"/>
              <w:rPr>
                <w:rFonts w:eastAsia="Times New Roman" w:cstheme="minorHAnsi"/>
                <w:b/>
                <w:bCs/>
                <w:smallCaps/>
                <w:sz w:val="28"/>
                <w:szCs w:val="28"/>
                <w:lang w:eastAsia="it-IT"/>
              </w:rPr>
            </w:pPr>
            <w:r w:rsidRPr="00422513">
              <w:rPr>
                <w:rFonts w:eastAsia="Times New Roman" w:cstheme="minorHAnsi"/>
                <w:b/>
                <w:bCs/>
                <w:smallCaps/>
                <w:sz w:val="28"/>
                <w:szCs w:val="28"/>
                <w:lang w:eastAsia="it-IT"/>
              </w:rPr>
              <w:t>No</w:t>
            </w:r>
          </w:p>
        </w:tc>
        <w:tc>
          <w:tcPr>
            <w:tcW w:w="1588" w:type="dxa"/>
            <w:tcBorders>
              <w:left w:val="single" w:sz="18" w:space="0" w:color="FFFFFF" w:themeColor="background1"/>
              <w:bottom w:val="single" w:sz="6" w:space="0" w:color="003399"/>
            </w:tcBorders>
            <w:shd w:val="clear" w:color="auto" w:fill="003399"/>
            <w:vAlign w:val="center"/>
          </w:tcPr>
          <w:p w14:paraId="78CFD173" w14:textId="27633AB7" w:rsidR="00422513" w:rsidRPr="00422513" w:rsidRDefault="00422513" w:rsidP="00422513">
            <w:pPr>
              <w:spacing w:after="0" w:line="240" w:lineRule="auto"/>
              <w:jc w:val="center"/>
              <w:rPr>
                <w:rFonts w:eastAsia="Times New Roman" w:cstheme="minorHAnsi"/>
                <w:b/>
                <w:bCs/>
                <w:smallCaps/>
                <w:sz w:val="28"/>
                <w:szCs w:val="28"/>
                <w:lang w:eastAsia="it-IT"/>
              </w:rPr>
            </w:pPr>
            <w:r w:rsidRPr="00422513">
              <w:rPr>
                <w:rFonts w:eastAsia="Times New Roman" w:cstheme="minorHAnsi"/>
                <w:b/>
                <w:bCs/>
                <w:smallCaps/>
                <w:sz w:val="28"/>
                <w:szCs w:val="28"/>
                <w:lang w:eastAsia="it-IT"/>
              </w:rPr>
              <w:t>Commenti</w:t>
            </w:r>
          </w:p>
        </w:tc>
      </w:tr>
      <w:tr w:rsidR="000F01BC" w:rsidRPr="00290A6B" w14:paraId="547D1CF7" w14:textId="77777777" w:rsidTr="0023087B">
        <w:tc>
          <w:tcPr>
            <w:tcW w:w="5529" w:type="dxa"/>
            <w:tcBorders>
              <w:top w:val="single" w:sz="6" w:space="0" w:color="003399"/>
            </w:tcBorders>
          </w:tcPr>
          <w:p w14:paraId="57D92154" w14:textId="624999FB" w:rsidR="000F01BC" w:rsidRPr="003B5E60" w:rsidRDefault="000F01BC" w:rsidP="00422513">
            <w:pPr>
              <w:spacing w:before="120" w:after="120" w:line="240" w:lineRule="auto"/>
              <w:jc w:val="both"/>
              <w:rPr>
                <w:rFonts w:eastAsia="Times New Roman" w:cstheme="minorHAnsi"/>
                <w:lang w:eastAsia="it-IT"/>
              </w:rPr>
            </w:pPr>
            <w:r w:rsidRPr="00422513">
              <w:rPr>
                <w:rFonts w:eastAsia="Times New Roman" w:cstheme="minorHAnsi"/>
                <w:sz w:val="20"/>
                <w:szCs w:val="20"/>
                <w:lang w:eastAsia="it-IT"/>
              </w:rPr>
              <w:t>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 xml:space="preserve">Organo di revisione ha verificato che la nota integrativa allegata al bilancio di previsione </w:t>
            </w:r>
            <w:r w:rsidRPr="00422513">
              <w:rPr>
                <w:rFonts w:eastAsia="Times New Roman" w:cstheme="minorHAnsi"/>
                <w:b/>
                <w:bCs/>
                <w:sz w:val="20"/>
                <w:szCs w:val="20"/>
                <w:lang w:eastAsia="it-IT"/>
              </w:rPr>
              <w:t>riporta/non riporta</w:t>
            </w:r>
            <w:r w:rsidRPr="00422513">
              <w:rPr>
                <w:rFonts w:eastAsia="Times New Roman" w:cstheme="minorHAnsi"/>
                <w:sz w:val="20"/>
                <w:szCs w:val="20"/>
                <w:lang w:eastAsia="it-IT"/>
              </w:rPr>
              <w:t xml:space="preserve"> le informazioni previste dal comma 5 dell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art.11 del D.lgs. 23/6/2011 n.118 e dal punto 9.11.1 del principio 4/1 (si veda nota metodologica riportata in calce alla presente tabella) tutte le seguenti informazioni</w:t>
            </w:r>
            <w:r w:rsidRPr="003B5E60">
              <w:rPr>
                <w:rFonts w:eastAsia="Times New Roman" w:cstheme="minorHAnsi"/>
                <w:lang w:eastAsia="it-IT"/>
              </w:rPr>
              <w:t>:</w:t>
            </w:r>
          </w:p>
          <w:p w14:paraId="0F79B686" w14:textId="279C3C5F" w:rsidR="00C90A1B" w:rsidRPr="00422513" w:rsidRDefault="000F01BC" w:rsidP="00422513">
            <w:pPr>
              <w:spacing w:before="60" w:after="120" w:line="240" w:lineRule="auto"/>
              <w:ind w:left="340" w:hanging="274"/>
              <w:jc w:val="both"/>
              <w:rPr>
                <w:rFonts w:eastAsia="Times New Roman" w:cstheme="minorHAnsi"/>
                <w:sz w:val="20"/>
                <w:szCs w:val="20"/>
                <w:lang w:eastAsia="it-IT"/>
              </w:rPr>
            </w:pPr>
            <w:r w:rsidRPr="003B5E60">
              <w:rPr>
                <w:rFonts w:eastAsia="Times New Roman" w:cstheme="minorHAnsi"/>
                <w:lang w:eastAsia="it-IT"/>
              </w:rPr>
              <w:t>a)</w:t>
            </w:r>
            <w:r w:rsidRPr="003B5E60">
              <w:rPr>
                <w:rFonts w:eastAsia="Times New Roman" w:cstheme="minorHAnsi"/>
                <w:lang w:eastAsia="it-IT"/>
              </w:rPr>
              <w:tab/>
            </w:r>
            <w:r w:rsidRPr="00422513">
              <w:rPr>
                <w:rFonts w:eastAsia="Times New Roman" w:cstheme="minorHAnsi"/>
                <w:sz w:val="20"/>
                <w:szCs w:val="20"/>
                <w:lang w:eastAsia="it-IT"/>
              </w:rPr>
              <w:t>i criteri di valutazione adottati per la formulazione delle previsioni, con particolare riferimento agli stanziamenti riguardanti gli accantonamenti per le spese potenziali e al fondo crediti di dubbia esigibilità, dando illustrazione dei crediti per i quali non è previsto 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accantonamento a t</w:t>
            </w:r>
            <w:r w:rsidR="00C90A1B" w:rsidRPr="00422513">
              <w:rPr>
                <w:rFonts w:eastAsia="Times New Roman" w:cstheme="minorHAnsi"/>
                <w:sz w:val="20"/>
                <w:szCs w:val="20"/>
                <w:lang w:eastAsia="it-IT"/>
              </w:rPr>
              <w:t>a</w:t>
            </w:r>
            <w:r w:rsidRPr="00422513">
              <w:rPr>
                <w:rFonts w:eastAsia="Times New Roman" w:cstheme="minorHAnsi"/>
                <w:sz w:val="20"/>
                <w:szCs w:val="20"/>
                <w:lang w:eastAsia="it-IT"/>
              </w:rPr>
              <w:t xml:space="preserve">le fondo; </w:t>
            </w:r>
          </w:p>
          <w:p w14:paraId="22FD8922" w14:textId="0474CBEA" w:rsidR="000F01BC" w:rsidRPr="00422513" w:rsidRDefault="000F01BC" w:rsidP="00422513">
            <w:pPr>
              <w:spacing w:before="60" w:after="120" w:line="240" w:lineRule="auto"/>
              <w:ind w:left="340" w:hanging="274"/>
              <w:jc w:val="both"/>
              <w:rPr>
                <w:rFonts w:eastAsia="Times New Roman" w:cstheme="minorHAnsi"/>
                <w:sz w:val="20"/>
                <w:szCs w:val="20"/>
                <w:lang w:eastAsia="it-IT"/>
              </w:rPr>
            </w:pPr>
            <w:r w:rsidRPr="00422513">
              <w:rPr>
                <w:rFonts w:eastAsia="Times New Roman" w:cstheme="minorHAnsi"/>
                <w:sz w:val="20"/>
                <w:szCs w:val="20"/>
                <w:lang w:eastAsia="it-IT"/>
              </w:rPr>
              <w:t>b)</w:t>
            </w:r>
            <w:r w:rsidRPr="00422513">
              <w:rPr>
                <w:rFonts w:eastAsia="Times New Roman" w:cstheme="minorHAnsi"/>
                <w:sz w:val="20"/>
                <w:szCs w:val="20"/>
                <w:lang w:eastAsia="it-IT"/>
              </w:rPr>
              <w:tab/>
              <w:t>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elenco analitico delle quote vincolate e accantonate del risultato di amministrazione presunto al 31 dicembre dell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esercizio precedente, distinguendo i vincoli derivanti dalla legge e dai principi contabili, dai trasferimenti, da mutui e altri finanziamenti, vincoli formalmente attribuiti dall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 xml:space="preserve">ente; </w:t>
            </w:r>
          </w:p>
          <w:p w14:paraId="7382A761" w14:textId="0FF8FA24" w:rsidR="000F01BC" w:rsidRPr="00422513" w:rsidRDefault="000F01BC" w:rsidP="00422513">
            <w:pPr>
              <w:spacing w:before="60" w:after="120" w:line="240" w:lineRule="auto"/>
              <w:ind w:left="340" w:hanging="274"/>
              <w:jc w:val="both"/>
              <w:rPr>
                <w:rFonts w:eastAsia="Times New Roman" w:cstheme="minorHAnsi"/>
                <w:sz w:val="20"/>
                <w:szCs w:val="20"/>
                <w:lang w:eastAsia="it-IT"/>
              </w:rPr>
            </w:pPr>
            <w:r w:rsidRPr="00422513">
              <w:rPr>
                <w:rFonts w:eastAsia="Times New Roman" w:cstheme="minorHAnsi"/>
                <w:sz w:val="20"/>
                <w:szCs w:val="20"/>
                <w:lang w:eastAsia="it-IT"/>
              </w:rPr>
              <w:t>c)</w:t>
            </w:r>
            <w:r w:rsidRPr="00422513">
              <w:rPr>
                <w:rFonts w:eastAsia="Times New Roman" w:cstheme="minorHAnsi"/>
                <w:sz w:val="20"/>
                <w:szCs w:val="20"/>
                <w:lang w:eastAsia="it-IT"/>
              </w:rPr>
              <w:tab/>
              <w:t>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elenco analitico degli utilizzi delle quote vincolate e accantonate del risultato di amministrazione presunto, distinguendo i vincoli derivanti dalla legge e dai principi contabili, dai trasferimenti, da mutui e altri finanziamenti, vincoli formalmente attribuiti dall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 xml:space="preserve">ente; </w:t>
            </w:r>
          </w:p>
          <w:p w14:paraId="765C1FC2" w14:textId="7F986F2C" w:rsidR="000F01BC" w:rsidRPr="00422513" w:rsidRDefault="000F01BC" w:rsidP="00422513">
            <w:pPr>
              <w:spacing w:before="60" w:after="120" w:line="240" w:lineRule="auto"/>
              <w:ind w:left="340" w:hanging="274"/>
              <w:jc w:val="both"/>
              <w:rPr>
                <w:rFonts w:eastAsia="Times New Roman" w:cstheme="minorHAnsi"/>
                <w:sz w:val="20"/>
                <w:szCs w:val="20"/>
                <w:lang w:eastAsia="it-IT"/>
              </w:rPr>
            </w:pPr>
            <w:r w:rsidRPr="00422513">
              <w:rPr>
                <w:rFonts w:eastAsia="Times New Roman" w:cstheme="minorHAnsi"/>
                <w:sz w:val="20"/>
                <w:szCs w:val="20"/>
                <w:lang w:eastAsia="it-IT"/>
              </w:rPr>
              <w:t>d)</w:t>
            </w:r>
            <w:r w:rsidRPr="00422513">
              <w:rPr>
                <w:rFonts w:eastAsia="Times New Roman" w:cstheme="minorHAnsi"/>
                <w:sz w:val="20"/>
                <w:szCs w:val="20"/>
                <w:lang w:eastAsia="it-IT"/>
              </w:rPr>
              <w:tab/>
              <w:t>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 xml:space="preserve">elenco degli interventi programmati per spese di investimento finanziati col ricorso al debito e con le risorse disponibili; </w:t>
            </w:r>
          </w:p>
          <w:p w14:paraId="473B487E" w14:textId="77777777" w:rsidR="000F01BC" w:rsidRPr="00422513" w:rsidRDefault="000F01BC" w:rsidP="00422513">
            <w:pPr>
              <w:spacing w:before="60" w:after="120" w:line="240" w:lineRule="auto"/>
              <w:ind w:left="340" w:hanging="274"/>
              <w:jc w:val="both"/>
              <w:rPr>
                <w:rFonts w:eastAsia="Times New Roman" w:cstheme="minorHAnsi"/>
                <w:sz w:val="20"/>
                <w:szCs w:val="20"/>
                <w:lang w:eastAsia="it-IT"/>
              </w:rPr>
            </w:pPr>
            <w:r w:rsidRPr="00422513">
              <w:rPr>
                <w:rFonts w:eastAsia="Times New Roman" w:cstheme="minorHAnsi"/>
                <w:sz w:val="20"/>
                <w:szCs w:val="20"/>
                <w:lang w:eastAsia="it-IT"/>
              </w:rPr>
              <w:t>e)</w:t>
            </w:r>
            <w:r w:rsidRPr="00422513">
              <w:rPr>
                <w:rFonts w:eastAsia="Times New Roman" w:cstheme="minorHAnsi"/>
                <w:sz w:val="20"/>
                <w:szCs w:val="20"/>
                <w:lang w:eastAsia="it-IT"/>
              </w:rPr>
              <w:tab/>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14:paraId="4858DCB8" w14:textId="12DB8CC4" w:rsidR="000F01BC" w:rsidRPr="00422513" w:rsidRDefault="000F01BC" w:rsidP="00422513">
            <w:pPr>
              <w:spacing w:before="120" w:after="120" w:line="240" w:lineRule="auto"/>
              <w:ind w:left="340" w:hanging="274"/>
              <w:jc w:val="both"/>
              <w:rPr>
                <w:rFonts w:eastAsia="Times New Roman" w:cstheme="minorHAnsi"/>
                <w:sz w:val="20"/>
                <w:szCs w:val="20"/>
                <w:lang w:eastAsia="it-IT"/>
              </w:rPr>
            </w:pPr>
            <w:r w:rsidRPr="00422513">
              <w:rPr>
                <w:rFonts w:eastAsia="Times New Roman" w:cstheme="minorHAnsi"/>
                <w:sz w:val="20"/>
                <w:szCs w:val="20"/>
                <w:lang w:eastAsia="it-IT"/>
              </w:rPr>
              <w:t>f)</w:t>
            </w:r>
            <w:r w:rsidRPr="00422513">
              <w:rPr>
                <w:rFonts w:eastAsia="Times New Roman" w:cstheme="minorHAnsi"/>
                <w:sz w:val="20"/>
                <w:szCs w:val="20"/>
                <w:lang w:eastAsia="it-IT"/>
              </w:rPr>
              <w:tab/>
              <w:t>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elenco delle garanzie principali o sussidiarie prestate dall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 xml:space="preserve">ente a favore di enti e di altri soggetti ai sensi delle leggi vigenti; </w:t>
            </w:r>
          </w:p>
          <w:p w14:paraId="14185B9C" w14:textId="77777777" w:rsidR="000F01BC" w:rsidRPr="00422513" w:rsidRDefault="000F01BC" w:rsidP="00422513">
            <w:pPr>
              <w:spacing w:before="120" w:after="120" w:line="240" w:lineRule="auto"/>
              <w:ind w:left="340" w:hanging="274"/>
              <w:jc w:val="both"/>
              <w:rPr>
                <w:rFonts w:eastAsia="Times New Roman" w:cstheme="minorHAnsi"/>
                <w:sz w:val="20"/>
                <w:szCs w:val="20"/>
                <w:lang w:eastAsia="it-IT"/>
              </w:rPr>
            </w:pPr>
            <w:r w:rsidRPr="00422513">
              <w:rPr>
                <w:rFonts w:eastAsia="Times New Roman" w:cstheme="minorHAnsi"/>
                <w:sz w:val="20"/>
                <w:szCs w:val="20"/>
                <w:lang w:eastAsia="it-IT"/>
              </w:rPr>
              <w:t>g)</w:t>
            </w:r>
            <w:r w:rsidRPr="00422513">
              <w:rPr>
                <w:rFonts w:eastAsia="Times New Roman" w:cstheme="minorHAnsi"/>
                <w:sz w:val="20"/>
                <w:szCs w:val="20"/>
                <w:lang w:eastAsia="it-IT"/>
              </w:rPr>
              <w:tab/>
              <w:t xml:space="preserve">gli oneri e gli impegni finanziari stimati e stanziati in bilancio, derivanti da contratti relativi a strumenti finanziari derivati o da contratti di finanziamento che includono una componente derivata; </w:t>
            </w:r>
          </w:p>
          <w:p w14:paraId="057F1E35" w14:textId="766AEAF3" w:rsidR="000F01BC" w:rsidRPr="00422513" w:rsidRDefault="000F01BC" w:rsidP="00422513">
            <w:pPr>
              <w:spacing w:before="120" w:after="120" w:line="240" w:lineRule="auto"/>
              <w:ind w:left="340" w:hanging="274"/>
              <w:jc w:val="both"/>
              <w:rPr>
                <w:rFonts w:eastAsia="Times New Roman" w:cstheme="minorHAnsi"/>
                <w:sz w:val="20"/>
                <w:szCs w:val="20"/>
                <w:lang w:eastAsia="it-IT"/>
              </w:rPr>
            </w:pPr>
            <w:r w:rsidRPr="00422513">
              <w:rPr>
                <w:rFonts w:eastAsia="Times New Roman" w:cstheme="minorHAnsi"/>
                <w:sz w:val="20"/>
                <w:szCs w:val="20"/>
                <w:lang w:eastAsia="it-IT"/>
              </w:rPr>
              <w:t>h)</w:t>
            </w:r>
            <w:r w:rsidRPr="00422513">
              <w:rPr>
                <w:rFonts w:eastAsia="Times New Roman" w:cstheme="minorHAnsi"/>
                <w:sz w:val="20"/>
                <w:szCs w:val="20"/>
                <w:lang w:eastAsia="it-IT"/>
              </w:rPr>
              <w:tab/>
              <w:t>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elenco dei propri enti ed organismi strumentali, precisando che i relativi bilanci consuntivi sono consultabili nel proprio sito internet fermo restando quanto previsto per gli enti locali dall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 xml:space="preserve">art. 172, comma 1, lettera a) del Tuel; </w:t>
            </w:r>
          </w:p>
          <w:p w14:paraId="70007393" w14:textId="2510181E" w:rsidR="005B2801" w:rsidRPr="003B5E60" w:rsidRDefault="000F01BC" w:rsidP="00422513">
            <w:pPr>
              <w:spacing w:before="120" w:after="120" w:line="240" w:lineRule="auto"/>
              <w:ind w:left="340" w:hanging="274"/>
              <w:jc w:val="both"/>
              <w:rPr>
                <w:rFonts w:eastAsia="Times New Roman" w:cstheme="minorHAnsi"/>
                <w:lang w:eastAsia="it-IT"/>
              </w:rPr>
            </w:pPr>
            <w:r w:rsidRPr="003B5E60">
              <w:rPr>
                <w:rFonts w:eastAsia="Times New Roman" w:cstheme="minorHAnsi"/>
                <w:lang w:eastAsia="it-IT"/>
              </w:rPr>
              <w:t>i)</w:t>
            </w:r>
            <w:r w:rsidRPr="003B5E60">
              <w:rPr>
                <w:rFonts w:eastAsia="Times New Roman" w:cstheme="minorHAnsi"/>
                <w:lang w:eastAsia="it-IT"/>
              </w:rPr>
              <w:tab/>
            </w:r>
            <w:r w:rsidRPr="00422513">
              <w:rPr>
                <w:rFonts w:eastAsia="Times New Roman" w:cstheme="minorHAnsi"/>
                <w:sz w:val="20"/>
                <w:szCs w:val="20"/>
                <w:lang w:eastAsia="it-IT"/>
              </w:rPr>
              <w:t>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elenco delle partecipazioni possedute con 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 xml:space="preserve">indicazione della relativa quota percentuale; </w:t>
            </w:r>
          </w:p>
          <w:p w14:paraId="0CCCE6EE" w14:textId="62352A21" w:rsidR="000F01BC" w:rsidRPr="00290A6B" w:rsidRDefault="000F01BC" w:rsidP="00422513">
            <w:pPr>
              <w:spacing w:before="120" w:after="120" w:line="240" w:lineRule="auto"/>
              <w:ind w:left="343" w:hanging="274"/>
              <w:jc w:val="both"/>
              <w:rPr>
                <w:rFonts w:ascii="Arial" w:eastAsia="Times New Roman" w:hAnsi="Arial" w:cs="Arial"/>
                <w:lang w:eastAsia="it-IT"/>
              </w:rPr>
            </w:pPr>
            <w:r w:rsidRPr="003B5E60">
              <w:rPr>
                <w:rFonts w:eastAsia="Times New Roman" w:cstheme="minorHAnsi"/>
                <w:lang w:eastAsia="it-IT"/>
              </w:rPr>
              <w:t>j)</w:t>
            </w:r>
            <w:r w:rsidRPr="003B5E60">
              <w:rPr>
                <w:rFonts w:eastAsia="Times New Roman" w:cstheme="minorHAnsi"/>
                <w:lang w:eastAsia="it-IT"/>
              </w:rPr>
              <w:tab/>
            </w:r>
            <w:r w:rsidRPr="00422513">
              <w:rPr>
                <w:rFonts w:eastAsia="Times New Roman" w:cstheme="minorHAnsi"/>
                <w:sz w:val="20"/>
                <w:szCs w:val="20"/>
                <w:lang w:eastAsia="it-IT"/>
              </w:rPr>
              <w:t>altre informazioni riguardanti le previsioni, richieste dalla legge o necessarie per l</w:t>
            </w:r>
            <w:r w:rsidR="003B5E60" w:rsidRPr="00422513">
              <w:rPr>
                <w:rFonts w:eastAsia="Times New Roman" w:cstheme="minorHAnsi"/>
                <w:sz w:val="20"/>
                <w:szCs w:val="20"/>
                <w:lang w:eastAsia="it-IT"/>
              </w:rPr>
              <w:t>’</w:t>
            </w:r>
            <w:r w:rsidRPr="00422513">
              <w:rPr>
                <w:rFonts w:eastAsia="Times New Roman" w:cstheme="minorHAnsi"/>
                <w:sz w:val="20"/>
                <w:szCs w:val="20"/>
                <w:lang w:eastAsia="it-IT"/>
              </w:rPr>
              <w:t>interpretazione del bilancio.</w:t>
            </w:r>
          </w:p>
        </w:tc>
        <w:tc>
          <w:tcPr>
            <w:tcW w:w="1134" w:type="dxa"/>
            <w:tcBorders>
              <w:top w:val="single" w:sz="6" w:space="0" w:color="003399"/>
            </w:tcBorders>
          </w:tcPr>
          <w:p w14:paraId="2BC3EE09" w14:textId="77777777" w:rsidR="000F01BC" w:rsidRPr="00290A6B" w:rsidRDefault="000F01BC" w:rsidP="000F01BC">
            <w:pPr>
              <w:spacing w:after="0" w:line="240" w:lineRule="auto"/>
              <w:rPr>
                <w:rFonts w:ascii="Arial" w:eastAsia="Times New Roman" w:hAnsi="Arial" w:cs="Arial"/>
                <w:b/>
                <w:lang w:eastAsia="it-IT"/>
              </w:rPr>
            </w:pPr>
          </w:p>
        </w:tc>
        <w:tc>
          <w:tcPr>
            <w:tcW w:w="1276" w:type="dxa"/>
            <w:tcBorders>
              <w:top w:val="single" w:sz="6" w:space="0" w:color="003399"/>
            </w:tcBorders>
          </w:tcPr>
          <w:p w14:paraId="168FA43E" w14:textId="77777777" w:rsidR="000F01BC" w:rsidRPr="00290A6B" w:rsidRDefault="000F01BC" w:rsidP="000F01BC">
            <w:pPr>
              <w:spacing w:after="0" w:line="240" w:lineRule="auto"/>
              <w:rPr>
                <w:rFonts w:ascii="Arial" w:eastAsia="Times New Roman" w:hAnsi="Arial" w:cs="Arial"/>
                <w:b/>
                <w:lang w:eastAsia="it-IT"/>
              </w:rPr>
            </w:pPr>
          </w:p>
        </w:tc>
        <w:tc>
          <w:tcPr>
            <w:tcW w:w="1588" w:type="dxa"/>
            <w:tcBorders>
              <w:top w:val="single" w:sz="6" w:space="0" w:color="003399"/>
            </w:tcBorders>
          </w:tcPr>
          <w:p w14:paraId="1F9C9141" w14:textId="77777777" w:rsidR="000F01BC" w:rsidRPr="00290A6B" w:rsidRDefault="000F01BC" w:rsidP="000F01BC">
            <w:pPr>
              <w:spacing w:after="0" w:line="240" w:lineRule="auto"/>
              <w:rPr>
                <w:rFonts w:ascii="Arial" w:eastAsia="Times New Roman" w:hAnsi="Arial" w:cs="Arial"/>
                <w:b/>
                <w:lang w:eastAsia="it-IT"/>
              </w:rPr>
            </w:pPr>
          </w:p>
        </w:tc>
      </w:tr>
    </w:tbl>
    <w:p w14:paraId="5ECD0BF7" w14:textId="77777777" w:rsidR="000F01BC" w:rsidRPr="00290A6B" w:rsidRDefault="000F01BC" w:rsidP="000F01BC">
      <w:pPr>
        <w:spacing w:after="0" w:line="240" w:lineRule="auto"/>
        <w:rPr>
          <w:rFonts w:ascii="Arial" w:eastAsia="Times New Roman" w:hAnsi="Arial" w:cs="Arial"/>
          <w:b/>
          <w:lang w:eastAsia="it-IT"/>
        </w:rPr>
      </w:pPr>
    </w:p>
    <w:tbl>
      <w:tblPr>
        <w:tblW w:w="9581" w:type="dxa"/>
        <w:tblInd w:w="-372" w:type="dxa"/>
        <w:tblLayout w:type="fixed"/>
        <w:tblCellMar>
          <w:left w:w="54" w:type="dxa"/>
          <w:right w:w="54" w:type="dxa"/>
        </w:tblCellMar>
        <w:tblLook w:val="0000" w:firstRow="0" w:lastRow="0" w:firstColumn="0" w:lastColumn="0" w:noHBand="0" w:noVBand="0"/>
      </w:tblPr>
      <w:tblGrid>
        <w:gridCol w:w="5026"/>
        <w:gridCol w:w="4555"/>
      </w:tblGrid>
      <w:tr w:rsidR="000F01BC" w:rsidRPr="00290A6B" w14:paraId="03F0A8A7" w14:textId="77777777" w:rsidTr="00422513">
        <w:trPr>
          <w:cantSplit/>
          <w:trHeight w:val="231"/>
        </w:trPr>
        <w:tc>
          <w:tcPr>
            <w:tcW w:w="5026" w:type="dxa"/>
            <w:vMerge w:val="restart"/>
            <w:tcBorders>
              <w:top w:val="single" w:sz="18" w:space="0" w:color="003399"/>
              <w:bottom w:val="single" w:sz="18" w:space="0" w:color="003399"/>
              <w:right w:val="single" w:sz="18" w:space="0" w:color="FFFFFF" w:themeColor="background1"/>
            </w:tcBorders>
            <w:shd w:val="clear" w:color="auto" w:fill="auto"/>
            <w:vAlign w:val="center"/>
          </w:tcPr>
          <w:p w14:paraId="7B50F392" w14:textId="4A6DA2AF" w:rsidR="000F01BC" w:rsidRPr="003B5E60" w:rsidRDefault="000F01BC" w:rsidP="000F01BC">
            <w:pPr>
              <w:widowControl w:val="0"/>
              <w:spacing w:after="0" w:line="240" w:lineRule="auto"/>
              <w:rPr>
                <w:rFonts w:eastAsia="Times New Roman" w:cstheme="minorHAnsi"/>
                <w:b/>
                <w:snapToGrid w:val="0"/>
                <w:lang w:eastAsia="it-IT"/>
              </w:rPr>
            </w:pPr>
            <w:r w:rsidRPr="003B5E60">
              <w:rPr>
                <w:rFonts w:eastAsia="Times New Roman" w:cstheme="minorHAnsi"/>
                <w:b/>
                <w:snapToGrid w:val="0"/>
                <w:lang w:eastAsia="it-IT"/>
              </w:rPr>
              <w:t>CONCLUSIONI PER L</w:t>
            </w:r>
            <w:r w:rsidR="003B5E60" w:rsidRPr="003B5E60">
              <w:rPr>
                <w:rFonts w:eastAsia="Times New Roman" w:cstheme="minorHAnsi"/>
                <w:b/>
                <w:snapToGrid w:val="0"/>
                <w:lang w:eastAsia="it-IT"/>
              </w:rPr>
              <w:t>’</w:t>
            </w:r>
            <w:r w:rsidRPr="003B5E60">
              <w:rPr>
                <w:rFonts w:eastAsia="Times New Roman" w:cstheme="minorHAnsi"/>
                <w:b/>
                <w:snapToGrid w:val="0"/>
                <w:lang w:eastAsia="it-IT"/>
              </w:rPr>
              <w:t>AREA:</w:t>
            </w:r>
          </w:p>
          <w:p w14:paraId="6B9D1701" w14:textId="77777777" w:rsidR="000F01BC" w:rsidRPr="003B5E60" w:rsidRDefault="000F01BC" w:rsidP="000F01BC">
            <w:pPr>
              <w:widowControl w:val="0"/>
              <w:spacing w:after="0" w:line="240" w:lineRule="auto"/>
              <w:rPr>
                <w:rFonts w:eastAsia="Times New Roman" w:cstheme="minorHAnsi"/>
                <w:b/>
                <w:snapToGrid w:val="0"/>
                <w:lang w:eastAsia="it-IT"/>
              </w:rPr>
            </w:pPr>
            <w:r w:rsidRPr="003B5E60">
              <w:rPr>
                <w:rFonts w:eastAsia="Times New Roman" w:cstheme="minorHAnsi"/>
                <w:b/>
                <w:snapToGrid w:val="0"/>
                <w:lang w:eastAsia="it-IT"/>
              </w:rPr>
              <w:t>(considerazioni conclusive a valle della comprensione di cui sopra)</w:t>
            </w:r>
          </w:p>
        </w:tc>
        <w:tc>
          <w:tcPr>
            <w:tcW w:w="4555" w:type="dxa"/>
            <w:tcBorders>
              <w:top w:val="single" w:sz="18" w:space="0" w:color="003399"/>
              <w:left w:val="single" w:sz="18" w:space="0" w:color="FFFFFF" w:themeColor="background1"/>
              <w:bottom w:val="single" w:sz="6" w:space="0" w:color="003399"/>
            </w:tcBorders>
            <w:shd w:val="clear" w:color="auto" w:fill="auto"/>
          </w:tcPr>
          <w:p w14:paraId="04888205"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7D98C97D" w14:textId="77777777" w:rsidTr="00422513">
        <w:trPr>
          <w:cantSplit/>
          <w:trHeight w:val="263"/>
        </w:trPr>
        <w:tc>
          <w:tcPr>
            <w:tcW w:w="5026" w:type="dxa"/>
            <w:vMerge/>
            <w:tcBorders>
              <w:top w:val="single" w:sz="4" w:space="0" w:color="003399"/>
              <w:bottom w:val="single" w:sz="18" w:space="0" w:color="003399"/>
              <w:right w:val="single" w:sz="18" w:space="0" w:color="FFFFFF" w:themeColor="background1"/>
            </w:tcBorders>
            <w:shd w:val="clear" w:color="auto" w:fill="auto"/>
            <w:vAlign w:val="center"/>
          </w:tcPr>
          <w:p w14:paraId="4282AFF0" w14:textId="77777777" w:rsidR="000F01BC" w:rsidRPr="003B5E60" w:rsidRDefault="000F01BC" w:rsidP="000F01BC">
            <w:pPr>
              <w:widowControl w:val="0"/>
              <w:spacing w:after="0" w:line="240" w:lineRule="auto"/>
              <w:rPr>
                <w:rFonts w:eastAsia="Times New Roman" w:cstheme="minorHAnsi"/>
                <w:b/>
                <w:snapToGrid w:val="0"/>
                <w:lang w:eastAsia="it-IT"/>
              </w:rPr>
            </w:pPr>
          </w:p>
        </w:tc>
        <w:tc>
          <w:tcPr>
            <w:tcW w:w="4555" w:type="dxa"/>
            <w:tcBorders>
              <w:top w:val="single" w:sz="6" w:space="0" w:color="003399"/>
              <w:left w:val="single" w:sz="18" w:space="0" w:color="FFFFFF" w:themeColor="background1"/>
              <w:bottom w:val="single" w:sz="6" w:space="0" w:color="003399"/>
            </w:tcBorders>
            <w:shd w:val="clear" w:color="auto" w:fill="auto"/>
          </w:tcPr>
          <w:p w14:paraId="2AA4568B"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18143ADE" w14:textId="77777777" w:rsidTr="00422513">
        <w:trPr>
          <w:cantSplit/>
          <w:trHeight w:val="263"/>
        </w:trPr>
        <w:tc>
          <w:tcPr>
            <w:tcW w:w="5026" w:type="dxa"/>
            <w:vMerge/>
            <w:tcBorders>
              <w:top w:val="single" w:sz="4" w:space="0" w:color="003399"/>
              <w:bottom w:val="single" w:sz="18" w:space="0" w:color="003399"/>
              <w:right w:val="single" w:sz="18" w:space="0" w:color="FFFFFF" w:themeColor="background1"/>
            </w:tcBorders>
            <w:shd w:val="clear" w:color="auto" w:fill="auto"/>
            <w:vAlign w:val="center"/>
          </w:tcPr>
          <w:p w14:paraId="6976CD0C" w14:textId="77777777" w:rsidR="000F01BC" w:rsidRPr="003B5E60" w:rsidRDefault="000F01BC" w:rsidP="000F01BC">
            <w:pPr>
              <w:widowControl w:val="0"/>
              <w:spacing w:after="0" w:line="240" w:lineRule="auto"/>
              <w:rPr>
                <w:rFonts w:eastAsia="Times New Roman" w:cstheme="minorHAnsi"/>
                <w:b/>
                <w:snapToGrid w:val="0"/>
                <w:lang w:eastAsia="it-IT"/>
              </w:rPr>
            </w:pPr>
          </w:p>
        </w:tc>
        <w:tc>
          <w:tcPr>
            <w:tcW w:w="4555" w:type="dxa"/>
            <w:tcBorders>
              <w:top w:val="single" w:sz="6" w:space="0" w:color="003399"/>
              <w:left w:val="single" w:sz="18" w:space="0" w:color="FFFFFF" w:themeColor="background1"/>
              <w:bottom w:val="single" w:sz="6" w:space="0" w:color="003399"/>
            </w:tcBorders>
            <w:shd w:val="clear" w:color="auto" w:fill="auto"/>
          </w:tcPr>
          <w:p w14:paraId="0DA54351"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3A574433" w14:textId="77777777" w:rsidTr="00422513">
        <w:trPr>
          <w:cantSplit/>
          <w:trHeight w:val="231"/>
        </w:trPr>
        <w:tc>
          <w:tcPr>
            <w:tcW w:w="5026" w:type="dxa"/>
            <w:vMerge w:val="restart"/>
            <w:tcBorders>
              <w:top w:val="single" w:sz="4" w:space="0" w:color="003399"/>
              <w:bottom w:val="single" w:sz="18" w:space="0" w:color="003399"/>
              <w:right w:val="single" w:sz="18" w:space="0" w:color="FFFFFF" w:themeColor="background1"/>
            </w:tcBorders>
            <w:shd w:val="clear" w:color="auto" w:fill="auto"/>
            <w:vAlign w:val="center"/>
          </w:tcPr>
          <w:p w14:paraId="5B231237" w14:textId="77777777" w:rsidR="000F01BC" w:rsidRPr="003B5E60" w:rsidRDefault="000F01BC" w:rsidP="000F01BC">
            <w:pPr>
              <w:widowControl w:val="0"/>
              <w:spacing w:after="0" w:line="240" w:lineRule="auto"/>
              <w:rPr>
                <w:rFonts w:eastAsia="Times New Roman" w:cstheme="minorHAnsi"/>
                <w:b/>
                <w:snapToGrid w:val="0"/>
                <w:lang w:eastAsia="it-IT"/>
              </w:rPr>
            </w:pPr>
            <w:r w:rsidRPr="003B5E60">
              <w:rPr>
                <w:rFonts w:eastAsia="Times New Roman" w:cstheme="minorHAnsi"/>
                <w:b/>
                <w:snapToGrid w:val="0"/>
                <w:lang w:eastAsia="it-IT"/>
              </w:rPr>
              <w:t>RISPOSTA DI REVISIONE:</w:t>
            </w:r>
          </w:p>
          <w:p w14:paraId="6B7EB154" w14:textId="77777777" w:rsidR="000F01BC" w:rsidRPr="003B5E60" w:rsidRDefault="000F01BC" w:rsidP="000F01BC">
            <w:pPr>
              <w:widowControl w:val="0"/>
              <w:spacing w:after="0" w:line="240" w:lineRule="auto"/>
              <w:rPr>
                <w:rFonts w:eastAsia="Times New Roman" w:cstheme="minorHAnsi"/>
                <w:b/>
                <w:snapToGrid w:val="0"/>
                <w:lang w:eastAsia="it-IT"/>
              </w:rPr>
            </w:pPr>
            <w:r w:rsidRPr="003B5E60">
              <w:rPr>
                <w:rFonts w:eastAsia="Times New Roman" w:cstheme="minorHAnsi"/>
                <w:b/>
                <w:snapToGrid w:val="0"/>
                <w:lang w:eastAsia="it-IT"/>
              </w:rPr>
              <w:t>(procedure di revisione aggiuntive da dettagliare in fase di esecuzione della strategia di dettaglio)</w:t>
            </w:r>
          </w:p>
        </w:tc>
        <w:tc>
          <w:tcPr>
            <w:tcW w:w="4555" w:type="dxa"/>
            <w:tcBorders>
              <w:top w:val="single" w:sz="6" w:space="0" w:color="003399"/>
              <w:left w:val="single" w:sz="18" w:space="0" w:color="FFFFFF" w:themeColor="background1"/>
              <w:bottom w:val="single" w:sz="6" w:space="0" w:color="003399"/>
            </w:tcBorders>
            <w:shd w:val="clear" w:color="auto" w:fill="auto"/>
          </w:tcPr>
          <w:p w14:paraId="7665CC30"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2B6CD026" w14:textId="77777777" w:rsidTr="00422513">
        <w:trPr>
          <w:cantSplit/>
          <w:trHeight w:val="263"/>
        </w:trPr>
        <w:tc>
          <w:tcPr>
            <w:tcW w:w="5026" w:type="dxa"/>
            <w:vMerge/>
            <w:tcBorders>
              <w:top w:val="single" w:sz="4" w:space="0" w:color="003399"/>
              <w:bottom w:val="single" w:sz="18" w:space="0" w:color="003399"/>
              <w:right w:val="single" w:sz="18" w:space="0" w:color="FFFFFF" w:themeColor="background1"/>
            </w:tcBorders>
            <w:shd w:val="clear" w:color="auto" w:fill="auto"/>
            <w:vAlign w:val="center"/>
          </w:tcPr>
          <w:p w14:paraId="40E02E9F" w14:textId="77777777" w:rsidR="000F01BC" w:rsidRPr="003B5E60" w:rsidRDefault="000F01BC" w:rsidP="000F01BC">
            <w:pPr>
              <w:widowControl w:val="0"/>
              <w:spacing w:after="0" w:line="240" w:lineRule="auto"/>
              <w:rPr>
                <w:rFonts w:eastAsia="Times New Roman" w:cstheme="minorHAnsi"/>
                <w:b/>
                <w:snapToGrid w:val="0"/>
                <w:lang w:eastAsia="it-IT"/>
              </w:rPr>
            </w:pPr>
          </w:p>
        </w:tc>
        <w:tc>
          <w:tcPr>
            <w:tcW w:w="4555" w:type="dxa"/>
            <w:tcBorders>
              <w:top w:val="single" w:sz="6" w:space="0" w:color="003399"/>
              <w:left w:val="single" w:sz="18" w:space="0" w:color="FFFFFF" w:themeColor="background1"/>
              <w:bottom w:val="single" w:sz="6" w:space="0" w:color="003399"/>
            </w:tcBorders>
            <w:shd w:val="clear" w:color="auto" w:fill="auto"/>
          </w:tcPr>
          <w:p w14:paraId="73695849"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7618F698" w14:textId="77777777" w:rsidTr="00422513">
        <w:trPr>
          <w:cantSplit/>
          <w:trHeight w:val="263"/>
        </w:trPr>
        <w:tc>
          <w:tcPr>
            <w:tcW w:w="5026" w:type="dxa"/>
            <w:vMerge/>
            <w:tcBorders>
              <w:top w:val="single" w:sz="4" w:space="0" w:color="003399"/>
              <w:bottom w:val="single" w:sz="18" w:space="0" w:color="003399"/>
              <w:right w:val="single" w:sz="18" w:space="0" w:color="FFFFFF" w:themeColor="background1"/>
            </w:tcBorders>
            <w:shd w:val="clear" w:color="auto" w:fill="auto"/>
            <w:vAlign w:val="center"/>
          </w:tcPr>
          <w:p w14:paraId="0879FD60" w14:textId="77777777" w:rsidR="000F01BC" w:rsidRPr="003B5E60" w:rsidRDefault="000F01BC" w:rsidP="000F01BC">
            <w:pPr>
              <w:widowControl w:val="0"/>
              <w:spacing w:after="0" w:line="240" w:lineRule="auto"/>
              <w:rPr>
                <w:rFonts w:eastAsia="Times New Roman" w:cstheme="minorHAnsi"/>
                <w:b/>
                <w:snapToGrid w:val="0"/>
                <w:lang w:eastAsia="it-IT"/>
              </w:rPr>
            </w:pPr>
          </w:p>
        </w:tc>
        <w:tc>
          <w:tcPr>
            <w:tcW w:w="4555" w:type="dxa"/>
            <w:tcBorders>
              <w:top w:val="single" w:sz="6" w:space="0" w:color="003399"/>
              <w:left w:val="single" w:sz="18" w:space="0" w:color="FFFFFF" w:themeColor="background1"/>
              <w:bottom w:val="single" w:sz="6" w:space="0" w:color="003399"/>
            </w:tcBorders>
            <w:shd w:val="clear" w:color="auto" w:fill="auto"/>
          </w:tcPr>
          <w:p w14:paraId="4AFA0EDC"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5079228E" w14:textId="77777777" w:rsidTr="00422513">
        <w:trPr>
          <w:cantSplit/>
          <w:trHeight w:val="231"/>
        </w:trPr>
        <w:tc>
          <w:tcPr>
            <w:tcW w:w="5026" w:type="dxa"/>
            <w:vMerge w:val="restart"/>
            <w:tcBorders>
              <w:top w:val="single" w:sz="4" w:space="0" w:color="003399"/>
              <w:bottom w:val="single" w:sz="18" w:space="0" w:color="003399"/>
              <w:right w:val="single" w:sz="18" w:space="0" w:color="FFFFFF" w:themeColor="background1"/>
            </w:tcBorders>
            <w:shd w:val="clear" w:color="auto" w:fill="auto"/>
            <w:vAlign w:val="center"/>
          </w:tcPr>
          <w:p w14:paraId="36B91BE8" w14:textId="018A274F" w:rsidR="000F01BC" w:rsidRPr="003B5E60" w:rsidRDefault="000F01BC" w:rsidP="000F01BC">
            <w:pPr>
              <w:widowControl w:val="0"/>
              <w:spacing w:after="0" w:line="240" w:lineRule="auto"/>
              <w:rPr>
                <w:rFonts w:eastAsia="Times New Roman" w:cstheme="minorHAnsi"/>
                <w:b/>
                <w:snapToGrid w:val="0"/>
                <w:lang w:eastAsia="it-IT"/>
              </w:rPr>
            </w:pPr>
            <w:r w:rsidRPr="003B5E60">
              <w:rPr>
                <w:rFonts w:eastAsia="Times New Roman" w:cstheme="minorHAnsi"/>
                <w:b/>
                <w:snapToGrid w:val="0"/>
                <w:lang w:eastAsia="it-IT"/>
              </w:rPr>
              <w:t>RISCHI SULL</w:t>
            </w:r>
            <w:r w:rsidR="003B5E60" w:rsidRPr="003B5E60">
              <w:rPr>
                <w:rFonts w:eastAsia="Times New Roman" w:cstheme="minorHAnsi"/>
                <w:b/>
                <w:snapToGrid w:val="0"/>
                <w:lang w:eastAsia="it-IT"/>
              </w:rPr>
              <w:t>’</w:t>
            </w:r>
            <w:r w:rsidRPr="003B5E60">
              <w:rPr>
                <w:rFonts w:eastAsia="Times New Roman" w:cstheme="minorHAnsi"/>
                <w:b/>
                <w:snapToGrid w:val="0"/>
                <w:lang w:eastAsia="it-IT"/>
              </w:rPr>
              <w:t>AREA:</w:t>
            </w:r>
          </w:p>
        </w:tc>
        <w:tc>
          <w:tcPr>
            <w:tcW w:w="4555" w:type="dxa"/>
            <w:tcBorders>
              <w:top w:val="single" w:sz="6" w:space="0" w:color="003399"/>
              <w:left w:val="single" w:sz="18" w:space="0" w:color="FFFFFF" w:themeColor="background1"/>
              <w:bottom w:val="single" w:sz="6" w:space="0" w:color="003399"/>
            </w:tcBorders>
            <w:shd w:val="clear" w:color="auto" w:fill="auto"/>
          </w:tcPr>
          <w:p w14:paraId="76706254"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4B788CA7" w14:textId="77777777" w:rsidTr="00422513">
        <w:trPr>
          <w:cantSplit/>
          <w:trHeight w:val="263"/>
        </w:trPr>
        <w:tc>
          <w:tcPr>
            <w:tcW w:w="5026" w:type="dxa"/>
            <w:vMerge/>
            <w:tcBorders>
              <w:top w:val="single" w:sz="4" w:space="0" w:color="003399"/>
              <w:bottom w:val="single" w:sz="18" w:space="0" w:color="003399"/>
              <w:right w:val="single" w:sz="18" w:space="0" w:color="FFFFFF" w:themeColor="background1"/>
            </w:tcBorders>
            <w:shd w:val="clear" w:color="auto" w:fill="auto"/>
          </w:tcPr>
          <w:p w14:paraId="522F8D1B" w14:textId="77777777" w:rsidR="000F01BC" w:rsidRPr="00290A6B" w:rsidRDefault="000F01BC" w:rsidP="000F01BC">
            <w:pPr>
              <w:widowControl w:val="0"/>
              <w:spacing w:after="0" w:line="240" w:lineRule="auto"/>
              <w:rPr>
                <w:rFonts w:ascii="Arial" w:eastAsia="Times New Roman" w:hAnsi="Arial" w:cs="Arial"/>
                <w:b/>
                <w:snapToGrid w:val="0"/>
                <w:lang w:eastAsia="it-IT"/>
              </w:rPr>
            </w:pPr>
          </w:p>
        </w:tc>
        <w:tc>
          <w:tcPr>
            <w:tcW w:w="4555" w:type="dxa"/>
            <w:tcBorders>
              <w:top w:val="single" w:sz="6" w:space="0" w:color="003399"/>
              <w:left w:val="single" w:sz="18" w:space="0" w:color="FFFFFF" w:themeColor="background1"/>
              <w:bottom w:val="single" w:sz="6" w:space="0" w:color="003399"/>
            </w:tcBorders>
            <w:shd w:val="clear" w:color="auto" w:fill="auto"/>
          </w:tcPr>
          <w:p w14:paraId="054537C1"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r w:rsidR="000F01BC" w:rsidRPr="00290A6B" w14:paraId="2150F2D6" w14:textId="77777777" w:rsidTr="00422513">
        <w:trPr>
          <w:cantSplit/>
          <w:trHeight w:val="252"/>
        </w:trPr>
        <w:tc>
          <w:tcPr>
            <w:tcW w:w="5026" w:type="dxa"/>
            <w:vMerge/>
            <w:tcBorders>
              <w:top w:val="single" w:sz="4" w:space="0" w:color="003399"/>
              <w:bottom w:val="single" w:sz="18" w:space="0" w:color="003399"/>
              <w:right w:val="single" w:sz="18" w:space="0" w:color="FFFFFF" w:themeColor="background1"/>
            </w:tcBorders>
            <w:shd w:val="clear" w:color="auto" w:fill="auto"/>
          </w:tcPr>
          <w:p w14:paraId="6AB8BC94" w14:textId="77777777" w:rsidR="000F01BC" w:rsidRPr="00290A6B" w:rsidRDefault="000F01BC" w:rsidP="000F01BC">
            <w:pPr>
              <w:widowControl w:val="0"/>
              <w:spacing w:after="0" w:line="240" w:lineRule="auto"/>
              <w:rPr>
                <w:rFonts w:ascii="Arial" w:eastAsia="Times New Roman" w:hAnsi="Arial" w:cs="Arial"/>
                <w:b/>
                <w:snapToGrid w:val="0"/>
                <w:lang w:eastAsia="it-IT"/>
              </w:rPr>
            </w:pPr>
          </w:p>
        </w:tc>
        <w:tc>
          <w:tcPr>
            <w:tcW w:w="4555" w:type="dxa"/>
            <w:tcBorders>
              <w:top w:val="single" w:sz="6" w:space="0" w:color="003399"/>
              <w:left w:val="single" w:sz="18" w:space="0" w:color="FFFFFF" w:themeColor="background1"/>
              <w:bottom w:val="single" w:sz="18" w:space="0" w:color="003399"/>
            </w:tcBorders>
            <w:shd w:val="clear" w:color="auto" w:fill="auto"/>
          </w:tcPr>
          <w:p w14:paraId="4C2778C5" w14:textId="77777777" w:rsidR="000F01BC" w:rsidRPr="00290A6B" w:rsidRDefault="000F01BC" w:rsidP="000F01BC">
            <w:pPr>
              <w:widowControl w:val="0"/>
              <w:spacing w:after="0" w:line="240" w:lineRule="auto"/>
              <w:jc w:val="center"/>
              <w:rPr>
                <w:rFonts w:ascii="Arial" w:eastAsia="Times New Roman" w:hAnsi="Arial" w:cs="Arial"/>
                <w:snapToGrid w:val="0"/>
                <w:lang w:eastAsia="it-IT"/>
              </w:rPr>
            </w:pPr>
          </w:p>
        </w:tc>
      </w:tr>
    </w:tbl>
    <w:p w14:paraId="1CDF5A34" w14:textId="77777777" w:rsidR="000F01BC" w:rsidRPr="003B5E60" w:rsidRDefault="000F01BC" w:rsidP="000F01BC">
      <w:pPr>
        <w:spacing w:before="100" w:beforeAutospacing="1" w:after="100" w:afterAutospacing="1" w:line="360" w:lineRule="auto"/>
        <w:jc w:val="center"/>
        <w:rPr>
          <w:rFonts w:eastAsia="MS Mincho" w:cstheme="minorHAnsi"/>
          <w:lang w:eastAsia="it-IT"/>
        </w:rPr>
      </w:pPr>
      <w:r w:rsidRPr="003B5E60">
        <w:rPr>
          <w:rFonts w:eastAsia="MS Mincho" w:cstheme="minorHAnsi"/>
          <w:lang w:eastAsia="it-IT"/>
        </w:rPr>
        <w:t>Data: _______     Firma: _________________________</w:t>
      </w:r>
    </w:p>
    <w:p w14:paraId="7B536EFD" w14:textId="77777777" w:rsidR="000F01BC" w:rsidRPr="003B5E60" w:rsidRDefault="000F01BC" w:rsidP="000F01BC">
      <w:pPr>
        <w:spacing w:after="0" w:line="240" w:lineRule="auto"/>
        <w:rPr>
          <w:rFonts w:eastAsia="Times New Roman" w:cstheme="minorHAnsi"/>
          <w:b/>
          <w:lang w:eastAsia="it-IT"/>
        </w:rPr>
      </w:pPr>
      <w:r w:rsidRPr="003B5E60">
        <w:rPr>
          <w:rFonts w:eastAsia="Times New Roman" w:cstheme="minorHAnsi"/>
          <w:b/>
          <w:lang w:eastAsia="it-IT"/>
        </w:rPr>
        <w:t>Nota metodologica:</w:t>
      </w:r>
    </w:p>
    <w:p w14:paraId="0B315CA2" w14:textId="77777777" w:rsidR="000F01BC" w:rsidRPr="003B5E60" w:rsidRDefault="000F01BC" w:rsidP="000F01BC">
      <w:pPr>
        <w:spacing w:before="100" w:beforeAutospacing="1" w:after="100" w:afterAutospacing="1" w:line="240" w:lineRule="auto"/>
        <w:jc w:val="both"/>
        <w:rPr>
          <w:rFonts w:eastAsia="Times New Roman" w:cstheme="minorHAnsi"/>
          <w:i/>
          <w:iCs/>
          <w:lang w:eastAsia="it-IT"/>
        </w:rPr>
      </w:pPr>
      <w:r w:rsidRPr="003B5E60">
        <w:rPr>
          <w:rFonts w:eastAsia="Times New Roman" w:cstheme="minorHAnsi"/>
          <w:i/>
          <w:iCs/>
          <w:lang w:eastAsia="it-IT"/>
        </w:rPr>
        <w:t>Il Principio contabile Allegato 4/1 ai seguenti paragrafi precisa:</w:t>
      </w:r>
    </w:p>
    <w:p w14:paraId="7FBB5B29" w14:textId="62F165B6" w:rsidR="000F01BC" w:rsidRPr="003B5E60" w:rsidRDefault="000F01BC" w:rsidP="000F01BC">
      <w:pPr>
        <w:spacing w:after="0" w:line="240" w:lineRule="auto"/>
        <w:ind w:left="709" w:hanging="709"/>
        <w:jc w:val="both"/>
        <w:rPr>
          <w:rFonts w:eastAsia="Times New Roman" w:cstheme="minorHAnsi"/>
          <w:i/>
          <w:iCs/>
          <w:lang w:eastAsia="it-IT"/>
        </w:rPr>
      </w:pPr>
      <w:r w:rsidRPr="003B5E60">
        <w:rPr>
          <w:rFonts w:eastAsia="Times New Roman" w:cstheme="minorHAnsi"/>
          <w:b/>
          <w:i/>
          <w:iCs/>
          <w:lang w:eastAsia="it-IT"/>
        </w:rPr>
        <w:t>§ 9.11.2</w:t>
      </w:r>
      <w:r w:rsidRPr="003B5E60">
        <w:rPr>
          <w:rFonts w:eastAsia="Times New Roman" w:cstheme="minorHAnsi"/>
          <w:i/>
          <w:iCs/>
          <w:lang w:eastAsia="it-IT"/>
        </w:rPr>
        <w:t xml:space="preserve"> La prima parte della nota integrativa riguarda criteri adottati per la determinazione degli stanziamenti di entrata e di spesa di ciascun esercizio finanziario considerato nel bilancio. Per le entrate una particolare attenzione è dedicata alle previsioni riguardanti le principali imposte e tasse, agli effetti connessi alle disposizioni normative vigenti, con separata indicazione di quelle oggetto di prima applicazione e di quelle recanti esenzioni o riduzioni, con l</w:t>
      </w:r>
      <w:r w:rsidR="003B5E60" w:rsidRPr="003B5E60">
        <w:rPr>
          <w:rFonts w:eastAsia="Times New Roman" w:cstheme="minorHAnsi"/>
          <w:i/>
          <w:iCs/>
          <w:lang w:eastAsia="it-IT"/>
        </w:rPr>
        <w:t>’</w:t>
      </w:r>
      <w:r w:rsidRPr="003B5E60">
        <w:rPr>
          <w:rFonts w:eastAsia="Times New Roman" w:cstheme="minorHAnsi"/>
          <w:i/>
          <w:iCs/>
          <w:lang w:eastAsia="it-IT"/>
        </w:rPr>
        <w:t xml:space="preserve">indicazione della natura delle agevolazioni, dei soggetti e delle categorie dei beneficiari e degli obiettivi perseguiti. </w:t>
      </w:r>
    </w:p>
    <w:p w14:paraId="51A52975" w14:textId="77777777" w:rsidR="000F01BC" w:rsidRPr="003B5E60" w:rsidRDefault="000F01BC" w:rsidP="000F01BC">
      <w:pPr>
        <w:spacing w:after="0" w:line="240" w:lineRule="auto"/>
        <w:ind w:left="709"/>
        <w:jc w:val="both"/>
        <w:rPr>
          <w:rFonts w:eastAsia="Times New Roman" w:cstheme="minorHAnsi"/>
          <w:i/>
          <w:iCs/>
          <w:lang w:eastAsia="it-IT"/>
        </w:rPr>
      </w:pPr>
      <w:r w:rsidRPr="003B5E60">
        <w:rPr>
          <w:rFonts w:eastAsia="Times New Roman" w:cstheme="minorHAnsi"/>
          <w:i/>
          <w:iCs/>
          <w:lang w:eastAsia="it-IT"/>
        </w:rPr>
        <w:t>Per la spesa, relativamente al contenuto di ciascun programma di spesa,   la nota integrativa illustra i criteri di formulazione delle previsioni, con riguardo, in particolare:</w:t>
      </w:r>
    </w:p>
    <w:p w14:paraId="48344731" w14:textId="77777777" w:rsidR="000F01BC" w:rsidRPr="003B5E60" w:rsidRDefault="000F01BC" w:rsidP="003B5E60">
      <w:pPr>
        <w:numPr>
          <w:ilvl w:val="0"/>
          <w:numId w:val="31"/>
        </w:numPr>
        <w:spacing w:after="0" w:line="240" w:lineRule="auto"/>
        <w:ind w:left="1134" w:hanging="283"/>
        <w:contextualSpacing/>
        <w:jc w:val="both"/>
        <w:rPr>
          <w:rFonts w:eastAsia="Times New Roman" w:cstheme="minorHAnsi"/>
          <w:i/>
          <w:iCs/>
          <w:lang w:eastAsia="it-IT"/>
        </w:rPr>
      </w:pPr>
      <w:r w:rsidRPr="003B5E60">
        <w:rPr>
          <w:rFonts w:eastAsia="Times New Roman" w:cstheme="minorHAnsi"/>
          <w:i/>
          <w:iCs/>
          <w:lang w:eastAsia="it-IT"/>
        </w:rPr>
        <w:t>alle varie tipologie di spesa e ai relativi riferimenti legislativi, con indicazione dei corrispondenti stanziamenti del bilancio triennale;</w:t>
      </w:r>
    </w:p>
    <w:p w14:paraId="189C0CE7" w14:textId="77777777" w:rsidR="000F01BC" w:rsidRPr="003B5E60" w:rsidRDefault="000F01BC" w:rsidP="003B5E60">
      <w:pPr>
        <w:numPr>
          <w:ilvl w:val="0"/>
          <w:numId w:val="31"/>
        </w:numPr>
        <w:spacing w:after="0" w:line="240" w:lineRule="auto"/>
        <w:ind w:left="1134" w:hanging="283"/>
        <w:contextualSpacing/>
        <w:jc w:val="both"/>
        <w:rPr>
          <w:rFonts w:eastAsia="Times New Roman" w:cstheme="minorHAnsi"/>
          <w:i/>
          <w:iCs/>
          <w:lang w:eastAsia="it-IT"/>
        </w:rPr>
      </w:pPr>
      <w:r w:rsidRPr="003B5E60">
        <w:rPr>
          <w:rFonts w:eastAsia="Times New Roman" w:cstheme="minorHAnsi"/>
          <w:i/>
          <w:iCs/>
          <w:lang w:eastAsia="it-IT"/>
        </w:rPr>
        <w:t xml:space="preserve">agli stanziamenti riguardanti gli accantonamenti ai fondi spese e ai fondi rischi, con particolare riferimento al fondo crediti di dubbia esigibilità. </w:t>
      </w:r>
    </w:p>
    <w:p w14:paraId="35A7B530" w14:textId="77777777" w:rsidR="000F01BC" w:rsidRPr="003B5E60" w:rsidRDefault="000F01BC" w:rsidP="000F01BC">
      <w:pPr>
        <w:spacing w:after="0" w:line="240" w:lineRule="auto"/>
        <w:jc w:val="both"/>
        <w:rPr>
          <w:rFonts w:eastAsia="Times New Roman" w:cstheme="minorHAnsi"/>
          <w:i/>
          <w:iCs/>
          <w:lang w:eastAsia="it-IT"/>
        </w:rPr>
      </w:pPr>
    </w:p>
    <w:p w14:paraId="7DDEBFE9" w14:textId="0BB7633A" w:rsidR="000F01BC" w:rsidRPr="003B5E60" w:rsidRDefault="000F01BC" w:rsidP="000F01BC">
      <w:pPr>
        <w:spacing w:after="0" w:line="240" w:lineRule="auto"/>
        <w:ind w:left="709" w:hanging="709"/>
        <w:jc w:val="both"/>
        <w:rPr>
          <w:rFonts w:eastAsia="Times New Roman" w:cstheme="minorHAnsi"/>
          <w:i/>
          <w:iCs/>
          <w:lang w:eastAsia="zh-TW"/>
        </w:rPr>
      </w:pPr>
      <w:r w:rsidRPr="003B5E60">
        <w:rPr>
          <w:rFonts w:eastAsia="Times New Roman" w:cstheme="minorHAnsi"/>
          <w:b/>
          <w:i/>
          <w:iCs/>
          <w:lang w:eastAsia="it-IT"/>
        </w:rPr>
        <w:t>§ 9.11.3</w:t>
      </w:r>
      <w:r w:rsidRPr="003B5E60">
        <w:rPr>
          <w:rFonts w:eastAsia="Times New Roman" w:cstheme="minorHAnsi"/>
          <w:i/>
          <w:iCs/>
          <w:lang w:eastAsia="it-IT"/>
        </w:rPr>
        <w:t xml:space="preserve"> La nota analizza altresì l</w:t>
      </w:r>
      <w:r w:rsidR="003B5E60" w:rsidRPr="003B5E60">
        <w:rPr>
          <w:rFonts w:eastAsia="Times New Roman" w:cstheme="minorHAnsi"/>
          <w:i/>
          <w:iCs/>
          <w:lang w:eastAsia="it-IT"/>
        </w:rPr>
        <w:t>’</w:t>
      </w:r>
      <w:r w:rsidRPr="003B5E60">
        <w:rPr>
          <w:rFonts w:eastAsia="Times New Roman" w:cstheme="minorHAnsi"/>
          <w:i/>
          <w:iCs/>
          <w:lang w:eastAsia="it-IT"/>
        </w:rPr>
        <w:t xml:space="preserve">articolazione e la relazione tra le entrate e le spese ricorrenti e quelle non ricorrenti. Al riguardo si ricorda che le entrate sono distinte in ricorrenti e non ricorrenti </w:t>
      </w:r>
      <w:r w:rsidRPr="003B5E60">
        <w:rPr>
          <w:rFonts w:eastAsia="Times New Roman" w:cstheme="minorHAnsi"/>
          <w:i/>
          <w:iCs/>
          <w:lang w:eastAsia="zh-TW"/>
        </w:rPr>
        <w:t>a seconda se l</w:t>
      </w:r>
      <w:r w:rsidR="003B5E60" w:rsidRPr="003B5E60">
        <w:rPr>
          <w:rFonts w:eastAsia="Times New Roman" w:cstheme="minorHAnsi"/>
          <w:i/>
          <w:iCs/>
          <w:lang w:eastAsia="zh-TW"/>
        </w:rPr>
        <w:t>’</w:t>
      </w:r>
      <w:r w:rsidRPr="003B5E60">
        <w:rPr>
          <w:rFonts w:eastAsia="Times New Roman" w:cstheme="minorHAnsi"/>
          <w:i/>
          <w:iCs/>
          <w:lang w:eastAsia="zh-TW"/>
        </w:rPr>
        <w:t>acquisizione dell</w:t>
      </w:r>
      <w:r w:rsidR="003B5E60" w:rsidRPr="003B5E60">
        <w:rPr>
          <w:rFonts w:eastAsia="Times New Roman" w:cstheme="minorHAnsi"/>
          <w:i/>
          <w:iCs/>
          <w:lang w:eastAsia="zh-TW"/>
        </w:rPr>
        <w:t>’</w:t>
      </w:r>
      <w:r w:rsidRPr="003B5E60">
        <w:rPr>
          <w:rFonts w:eastAsia="Times New Roman" w:cstheme="minorHAnsi"/>
          <w:i/>
          <w:iCs/>
          <w:lang w:eastAsia="zh-TW"/>
        </w:rPr>
        <w:t>entrata sia prevista a regime ovvero limitata ad uno o più esercizi, e le spese sono distinte in ricorrente e non ricorrente, a seconda se la spesa sia prevista a regime o limitata ad uno o più esercizi.</w:t>
      </w:r>
    </w:p>
    <w:p w14:paraId="657546CD" w14:textId="77777777" w:rsidR="000F01BC" w:rsidRPr="003B5E60" w:rsidRDefault="000F01BC" w:rsidP="000F01BC">
      <w:pPr>
        <w:tabs>
          <w:tab w:val="left" w:pos="993"/>
        </w:tabs>
        <w:spacing w:after="0" w:line="240" w:lineRule="auto"/>
        <w:ind w:left="709" w:right="-2"/>
        <w:contextualSpacing/>
        <w:jc w:val="both"/>
        <w:rPr>
          <w:rFonts w:eastAsia="Times New Roman" w:cstheme="minorHAnsi"/>
          <w:i/>
          <w:iCs/>
          <w:lang w:eastAsia="zh-TW"/>
        </w:rPr>
      </w:pPr>
      <w:r w:rsidRPr="003B5E60">
        <w:rPr>
          <w:rFonts w:eastAsia="Times New Roman" w:cstheme="minorHAnsi"/>
          <w:i/>
          <w:iCs/>
          <w:lang w:eastAsia="zh-TW"/>
        </w:rPr>
        <w:t xml:space="preserve">Sono, in ogni caso, da considerarsi non ricorrenti le entrate riguardanti: </w:t>
      </w:r>
    </w:p>
    <w:p w14:paraId="5F2A1BBC" w14:textId="77777777" w:rsidR="000F01BC" w:rsidRPr="003B5E60" w:rsidRDefault="000F01BC" w:rsidP="003B5E60">
      <w:pPr>
        <w:numPr>
          <w:ilvl w:val="0"/>
          <w:numId w:val="32"/>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donazioni, sanatorie, abusi edilizi e sanzioni;</w:t>
      </w:r>
    </w:p>
    <w:p w14:paraId="6D76DF66" w14:textId="77777777" w:rsidR="000F01BC" w:rsidRPr="003B5E60" w:rsidRDefault="000F01BC" w:rsidP="003B5E60">
      <w:pPr>
        <w:numPr>
          <w:ilvl w:val="0"/>
          <w:numId w:val="32"/>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condoni;</w:t>
      </w:r>
    </w:p>
    <w:p w14:paraId="04653FAC" w14:textId="1493475C" w:rsidR="000F01BC" w:rsidRPr="003B5E60" w:rsidRDefault="000F01BC" w:rsidP="003B5E60">
      <w:pPr>
        <w:numPr>
          <w:ilvl w:val="0"/>
          <w:numId w:val="32"/>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gettiti derivanti dalla lotta all</w:t>
      </w:r>
      <w:r w:rsidR="003B5E60" w:rsidRPr="003B5E60">
        <w:rPr>
          <w:rFonts w:eastAsia="Times New Roman" w:cstheme="minorHAnsi"/>
          <w:i/>
          <w:iCs/>
          <w:lang w:eastAsia="it-IT"/>
        </w:rPr>
        <w:t>’</w:t>
      </w:r>
      <w:r w:rsidRPr="003B5E60">
        <w:rPr>
          <w:rFonts w:eastAsia="Times New Roman" w:cstheme="minorHAnsi"/>
          <w:i/>
          <w:iCs/>
          <w:lang w:eastAsia="it-IT"/>
        </w:rPr>
        <w:t>evasione tributaria;</w:t>
      </w:r>
    </w:p>
    <w:p w14:paraId="3B486773" w14:textId="77777777" w:rsidR="000F01BC" w:rsidRPr="003B5E60" w:rsidRDefault="000F01BC" w:rsidP="003B5E60">
      <w:pPr>
        <w:numPr>
          <w:ilvl w:val="0"/>
          <w:numId w:val="32"/>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entrate per eventi calamitosi;</w:t>
      </w:r>
    </w:p>
    <w:p w14:paraId="63B588EE" w14:textId="77777777" w:rsidR="000F01BC" w:rsidRPr="003B5E60" w:rsidRDefault="000F01BC" w:rsidP="003B5E60">
      <w:pPr>
        <w:numPr>
          <w:ilvl w:val="0"/>
          <w:numId w:val="32"/>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alienazione di immobilizzazioni;</w:t>
      </w:r>
    </w:p>
    <w:p w14:paraId="465310B7" w14:textId="16A871FA" w:rsidR="000F01BC" w:rsidRPr="003B5E60" w:rsidRDefault="000F01BC" w:rsidP="003B5E60">
      <w:pPr>
        <w:numPr>
          <w:ilvl w:val="0"/>
          <w:numId w:val="32"/>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le accensioni di prestiti;</w:t>
      </w:r>
    </w:p>
    <w:p w14:paraId="7BB518CA" w14:textId="3F9744F7" w:rsidR="000F01BC" w:rsidRPr="003B5E60" w:rsidRDefault="000F01BC" w:rsidP="003B5E60">
      <w:pPr>
        <w:numPr>
          <w:ilvl w:val="0"/>
          <w:numId w:val="32"/>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i contributi agli investimenti, a meno che non siano espressamente definitivi “continuativi” dal provvedimento o dalla norma che ne autorizza l</w:t>
      </w:r>
      <w:r w:rsidR="003B5E60" w:rsidRPr="003B5E60">
        <w:rPr>
          <w:rFonts w:eastAsia="Times New Roman" w:cstheme="minorHAnsi"/>
          <w:i/>
          <w:iCs/>
          <w:lang w:eastAsia="it-IT"/>
        </w:rPr>
        <w:t>’</w:t>
      </w:r>
      <w:r w:rsidRPr="003B5E60">
        <w:rPr>
          <w:rFonts w:eastAsia="Times New Roman" w:cstheme="minorHAnsi"/>
          <w:i/>
          <w:iCs/>
          <w:lang w:eastAsia="it-IT"/>
        </w:rPr>
        <w:t>erogazione.</w:t>
      </w:r>
    </w:p>
    <w:p w14:paraId="20BF43BA" w14:textId="77777777" w:rsidR="000F01BC" w:rsidRPr="003B5E60" w:rsidRDefault="000F01BC" w:rsidP="003B5E60">
      <w:pPr>
        <w:spacing w:before="240" w:after="120" w:line="240" w:lineRule="auto"/>
        <w:ind w:left="851"/>
        <w:jc w:val="both"/>
        <w:rPr>
          <w:rFonts w:eastAsia="Times New Roman" w:cstheme="minorHAnsi"/>
          <w:i/>
          <w:iCs/>
          <w:lang w:eastAsia="it-IT"/>
        </w:rPr>
      </w:pPr>
      <w:r w:rsidRPr="003B5E60">
        <w:rPr>
          <w:rFonts w:eastAsia="Times New Roman" w:cstheme="minorHAnsi"/>
          <w:i/>
          <w:iCs/>
          <w:lang w:eastAsia="it-IT"/>
        </w:rPr>
        <w:t>Sono, in ogni caso, da considerarsi non ricorrenti, le spese riguardanti:</w:t>
      </w:r>
    </w:p>
    <w:p w14:paraId="6495F1D6" w14:textId="77777777" w:rsidR="000F01BC" w:rsidRPr="003B5E60" w:rsidRDefault="000F01BC" w:rsidP="003B5E60">
      <w:pPr>
        <w:numPr>
          <w:ilvl w:val="0"/>
          <w:numId w:val="33"/>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lastRenderedPageBreak/>
        <w:t>le consultazioni elettorali o referendarie locali,</w:t>
      </w:r>
    </w:p>
    <w:p w14:paraId="676B9294" w14:textId="77777777" w:rsidR="000F01BC" w:rsidRPr="003B5E60" w:rsidRDefault="000F01BC" w:rsidP="003B5E60">
      <w:pPr>
        <w:numPr>
          <w:ilvl w:val="0"/>
          <w:numId w:val="33"/>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i ripiani disavanzi pregressi di aziende e società e gli altri trasferimenti in c/capitale,</w:t>
      </w:r>
    </w:p>
    <w:p w14:paraId="24E330ED" w14:textId="77777777" w:rsidR="000F01BC" w:rsidRPr="003B5E60" w:rsidRDefault="000F01BC" w:rsidP="003B5E60">
      <w:pPr>
        <w:numPr>
          <w:ilvl w:val="0"/>
          <w:numId w:val="33"/>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gli eventi calamitosi,</w:t>
      </w:r>
    </w:p>
    <w:p w14:paraId="3AD8C2EC" w14:textId="77777777" w:rsidR="000F01BC" w:rsidRPr="003B5E60" w:rsidRDefault="000F01BC" w:rsidP="003B5E60">
      <w:pPr>
        <w:numPr>
          <w:ilvl w:val="0"/>
          <w:numId w:val="33"/>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le sentenze esecutive ed atti equiparati,</w:t>
      </w:r>
    </w:p>
    <w:p w14:paraId="28BAB4DF" w14:textId="77777777" w:rsidR="000F01BC" w:rsidRPr="003B5E60" w:rsidRDefault="000F01BC" w:rsidP="003B5E60">
      <w:pPr>
        <w:numPr>
          <w:ilvl w:val="0"/>
          <w:numId w:val="33"/>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gli investimenti diretti,</w:t>
      </w:r>
    </w:p>
    <w:p w14:paraId="1DB9A063" w14:textId="77777777" w:rsidR="000F01BC" w:rsidRPr="003B5E60" w:rsidRDefault="000F01BC" w:rsidP="003B5E60">
      <w:pPr>
        <w:numPr>
          <w:ilvl w:val="0"/>
          <w:numId w:val="33"/>
        </w:numPr>
        <w:spacing w:after="0" w:line="240" w:lineRule="auto"/>
        <w:ind w:left="1134" w:right="-2" w:hanging="283"/>
        <w:contextualSpacing/>
        <w:jc w:val="both"/>
        <w:rPr>
          <w:rFonts w:eastAsia="Times New Roman" w:cstheme="minorHAnsi"/>
          <w:i/>
          <w:iCs/>
          <w:lang w:eastAsia="it-IT"/>
        </w:rPr>
      </w:pPr>
      <w:r w:rsidRPr="003B5E60">
        <w:rPr>
          <w:rFonts w:eastAsia="Times New Roman" w:cstheme="minorHAnsi"/>
          <w:i/>
          <w:iCs/>
          <w:lang w:eastAsia="it-IT"/>
        </w:rPr>
        <w:t>i contributi agli investimenti.</w:t>
      </w:r>
    </w:p>
    <w:p w14:paraId="754AB37A" w14:textId="77777777" w:rsidR="000F01BC" w:rsidRPr="003B5E60" w:rsidRDefault="000F01BC" w:rsidP="000F01BC">
      <w:pPr>
        <w:spacing w:before="100" w:beforeAutospacing="1" w:after="100" w:afterAutospacing="1" w:line="240" w:lineRule="auto"/>
        <w:jc w:val="both"/>
        <w:rPr>
          <w:rFonts w:eastAsia="Times New Roman" w:cstheme="minorHAnsi"/>
          <w:i/>
          <w:iCs/>
          <w:lang w:eastAsia="it-IT"/>
        </w:rPr>
      </w:pPr>
      <w:r w:rsidRPr="003B5E60">
        <w:rPr>
          <w:rFonts w:eastAsia="Times New Roman" w:cstheme="minorHAnsi"/>
          <w:i/>
          <w:iCs/>
          <w:lang w:eastAsia="it-IT"/>
        </w:rPr>
        <w:t>La nota integrativa, con riferimento ai contratti relativi a strumenti finanziari derivati o da contratti di finanziamento che includono una componente derivata, deve indicare gli oneri e gli impegni finanziari stimati e stanziati in bilancio per ciascuna operazione in derivati.</w:t>
      </w:r>
    </w:p>
    <w:p w14:paraId="4DD45464" w14:textId="77777777" w:rsidR="000F01BC" w:rsidRPr="003B5E60" w:rsidRDefault="000F01BC" w:rsidP="003B5E60">
      <w:pPr>
        <w:spacing w:before="120" w:after="120" w:line="240" w:lineRule="auto"/>
        <w:jc w:val="both"/>
        <w:rPr>
          <w:rFonts w:eastAsia="Times New Roman" w:cstheme="minorHAnsi"/>
          <w:i/>
          <w:iCs/>
          <w:lang w:eastAsia="it-IT"/>
        </w:rPr>
      </w:pPr>
      <w:r w:rsidRPr="003B5E60">
        <w:rPr>
          <w:rFonts w:eastAsia="Times New Roman" w:cstheme="minorHAnsi"/>
          <w:i/>
          <w:iCs/>
          <w:lang w:eastAsia="it-IT"/>
        </w:rPr>
        <w:t>A tal fine, per ciascuna operazione in derivati sono indicate:</w:t>
      </w:r>
    </w:p>
    <w:p w14:paraId="65B670F2" w14:textId="77777777" w:rsidR="000F01BC" w:rsidRPr="003B5E60" w:rsidRDefault="000F01BC" w:rsidP="003B5E60">
      <w:pPr>
        <w:numPr>
          <w:ilvl w:val="0"/>
          <w:numId w:val="37"/>
        </w:numPr>
        <w:spacing w:after="0" w:line="240" w:lineRule="auto"/>
        <w:ind w:left="426" w:hanging="284"/>
        <w:jc w:val="both"/>
        <w:rPr>
          <w:rFonts w:eastAsia="Times New Roman" w:cstheme="minorHAnsi"/>
          <w:i/>
          <w:iCs/>
          <w:lang w:eastAsia="it-IT"/>
        </w:rPr>
      </w:pPr>
      <w:r w:rsidRPr="003B5E60">
        <w:rPr>
          <w:rFonts w:eastAsia="Times New Roman" w:cstheme="minorHAnsi"/>
          <w:i/>
          <w:iCs/>
          <w:lang w:eastAsia="it-IT"/>
        </w:rPr>
        <w:t>informazioni sulla loro entità e sulla loro natura;</w:t>
      </w:r>
    </w:p>
    <w:p w14:paraId="2317CDFB" w14:textId="3BD24B05" w:rsidR="000F01BC" w:rsidRPr="003B5E60" w:rsidRDefault="000F01BC" w:rsidP="003B5E60">
      <w:pPr>
        <w:numPr>
          <w:ilvl w:val="0"/>
          <w:numId w:val="37"/>
        </w:numPr>
        <w:spacing w:before="100" w:beforeAutospacing="1" w:after="100" w:afterAutospacing="1" w:line="240" w:lineRule="auto"/>
        <w:ind w:left="426" w:hanging="284"/>
        <w:jc w:val="both"/>
        <w:rPr>
          <w:rFonts w:eastAsia="Times New Roman" w:cstheme="minorHAnsi"/>
          <w:i/>
          <w:iCs/>
          <w:lang w:eastAsia="it-IT"/>
        </w:rPr>
      </w:pPr>
      <w:r w:rsidRPr="003B5E60">
        <w:rPr>
          <w:rFonts w:eastAsia="Times New Roman" w:cstheme="minorHAnsi"/>
          <w:i/>
          <w:iCs/>
          <w:lang w:eastAsia="it-IT"/>
        </w:rPr>
        <w:t>il loro fair value alla data di predisposizione del bilancio di previsione, determinato secondo le modalità previste dall</w:t>
      </w:r>
      <w:r w:rsidR="003B5E60" w:rsidRPr="003B5E60">
        <w:rPr>
          <w:rFonts w:eastAsia="Times New Roman" w:cstheme="minorHAnsi"/>
          <w:i/>
          <w:iCs/>
          <w:lang w:eastAsia="it-IT"/>
        </w:rPr>
        <w:t>’</w:t>
      </w:r>
      <w:r w:rsidRPr="003B5E60">
        <w:rPr>
          <w:rFonts w:eastAsia="Times New Roman" w:cstheme="minorHAnsi"/>
          <w:i/>
          <w:iCs/>
          <w:lang w:eastAsia="it-IT"/>
        </w:rPr>
        <w:t>articolo 1, comma 3, del D.lgs. 30 dicembre 2003, n. 394;</w:t>
      </w:r>
    </w:p>
    <w:p w14:paraId="6345D665" w14:textId="77777777" w:rsidR="000F01BC" w:rsidRPr="003B5E60" w:rsidRDefault="000F01BC" w:rsidP="003B5E60">
      <w:pPr>
        <w:numPr>
          <w:ilvl w:val="0"/>
          <w:numId w:val="37"/>
        </w:numPr>
        <w:spacing w:before="100" w:beforeAutospacing="1" w:after="100" w:afterAutospacing="1" w:line="240" w:lineRule="auto"/>
        <w:ind w:left="426" w:hanging="284"/>
        <w:jc w:val="both"/>
        <w:rPr>
          <w:rFonts w:eastAsia="Times New Roman" w:cstheme="minorHAnsi"/>
          <w:i/>
          <w:iCs/>
          <w:lang w:eastAsia="it-IT"/>
        </w:rPr>
      </w:pPr>
      <w:r w:rsidRPr="003B5E60">
        <w:rPr>
          <w:rFonts w:eastAsia="Times New Roman" w:cstheme="minorHAnsi"/>
          <w:i/>
          <w:iCs/>
          <w:lang w:eastAsia="it-IT"/>
        </w:rPr>
        <w:t>il valore nominale e il fair value alla data di predisposizione del bilancio di previsione, della passività sulla quale insiste il derivato stesso e  il relativo tasso di interesse;</w:t>
      </w:r>
    </w:p>
    <w:p w14:paraId="093ED416" w14:textId="212343E6" w:rsidR="000F01BC" w:rsidRPr="003B5E60" w:rsidRDefault="000F01BC" w:rsidP="003B5E60">
      <w:pPr>
        <w:numPr>
          <w:ilvl w:val="0"/>
          <w:numId w:val="37"/>
        </w:numPr>
        <w:spacing w:before="100" w:beforeAutospacing="1" w:after="100" w:afterAutospacing="1" w:line="240" w:lineRule="auto"/>
        <w:ind w:left="426" w:hanging="284"/>
        <w:jc w:val="both"/>
        <w:rPr>
          <w:rFonts w:eastAsia="Times New Roman" w:cstheme="minorHAnsi"/>
          <w:i/>
          <w:iCs/>
          <w:lang w:eastAsia="it-IT"/>
        </w:rPr>
      </w:pPr>
      <w:r w:rsidRPr="003B5E60">
        <w:rPr>
          <w:rFonts w:eastAsia="Times New Roman" w:cstheme="minorHAnsi"/>
          <w:i/>
          <w:iCs/>
          <w:lang w:eastAsia="it-IT"/>
        </w:rPr>
        <w:t>Gli stanziamenti del bilancio di previsione relativi ai flussi di entrata e di spesa riguardanti ciascun derivato, relativi agli esercizi considerati nel bilancio e i criteri di valutazione adottati per l</w:t>
      </w:r>
      <w:r w:rsidR="003B5E60" w:rsidRPr="003B5E60">
        <w:rPr>
          <w:rFonts w:eastAsia="Times New Roman" w:cstheme="minorHAnsi"/>
          <w:i/>
          <w:iCs/>
          <w:lang w:eastAsia="it-IT"/>
        </w:rPr>
        <w:t>’</w:t>
      </w:r>
      <w:r w:rsidRPr="003B5E60">
        <w:rPr>
          <w:rFonts w:eastAsia="Times New Roman" w:cstheme="minorHAnsi"/>
          <w:i/>
          <w:iCs/>
          <w:lang w:eastAsia="it-IT"/>
        </w:rPr>
        <w:t>elaborazione di tali previsioni</w:t>
      </w:r>
    </w:p>
    <w:p w14:paraId="4A5AF8FA" w14:textId="0568C234" w:rsidR="000F01BC" w:rsidRPr="003B5E60" w:rsidRDefault="000F01BC" w:rsidP="003B5E60">
      <w:pPr>
        <w:numPr>
          <w:ilvl w:val="0"/>
          <w:numId w:val="37"/>
        </w:numPr>
        <w:spacing w:before="100" w:beforeAutospacing="1" w:after="100" w:afterAutospacing="1" w:line="240" w:lineRule="auto"/>
        <w:ind w:left="426" w:hanging="284"/>
        <w:jc w:val="both"/>
        <w:rPr>
          <w:rFonts w:eastAsia="Times New Roman" w:cstheme="minorHAnsi"/>
          <w:i/>
          <w:iCs/>
          <w:lang w:eastAsia="it-IT"/>
        </w:rPr>
      </w:pPr>
      <w:r w:rsidRPr="003B5E60">
        <w:rPr>
          <w:rFonts w:eastAsia="Times New Roman" w:cstheme="minorHAnsi"/>
          <w:i/>
          <w:iCs/>
          <w:lang w:eastAsia="it-IT"/>
        </w:rPr>
        <w:t>il tasso costo finale sintetico presunto a carico dell</w:t>
      </w:r>
      <w:r w:rsidR="003B5E60" w:rsidRPr="003B5E60">
        <w:rPr>
          <w:rFonts w:eastAsia="Times New Roman" w:cstheme="minorHAnsi"/>
          <w:i/>
          <w:iCs/>
          <w:lang w:eastAsia="it-IT"/>
        </w:rPr>
        <w:t>’</w:t>
      </w:r>
      <w:r w:rsidRPr="003B5E60">
        <w:rPr>
          <w:rFonts w:eastAsia="Times New Roman" w:cstheme="minorHAnsi"/>
          <w:i/>
          <w:iCs/>
          <w:lang w:eastAsia="it-IT"/>
        </w:rPr>
        <w:t>Ente, calcolato, per ciascun esercizio cui il bilancio si riferisce, secondo la seguente formulazione: (TFSCFS= {[(Interessi su debito sottostante+/- Differenziali swap)*36000] / [(Nominale * 365</w:t>
      </w:r>
      <w:r w:rsidRPr="003B5E60">
        <w:rPr>
          <w:rFonts w:eastAsia="Times New Roman" w:cstheme="minorHAnsi"/>
          <w:i/>
          <w:iCs/>
          <w:vertAlign w:val="superscript"/>
          <w:lang w:eastAsia="it-IT"/>
        </w:rPr>
        <w:footnoteReference w:id="1"/>
      </w:r>
      <w:r w:rsidRPr="003B5E60">
        <w:rPr>
          <w:rFonts w:eastAsia="Times New Roman" w:cstheme="minorHAnsi"/>
          <w:i/>
          <w:iCs/>
          <w:lang w:eastAsia="it-IT"/>
        </w:rPr>
        <w:t>)]}. Gli importi relativi agli interessi e ai differenziali swap sono calcolati facendo riferimento agli stanziamenti iscritti in bilancio,</w:t>
      </w:r>
    </w:p>
    <w:p w14:paraId="1F0E7660" w14:textId="45E380C1" w:rsidR="000F01BC" w:rsidRPr="003B5E60" w:rsidRDefault="000F01BC" w:rsidP="003B5E60">
      <w:pPr>
        <w:spacing w:before="100" w:beforeAutospacing="1" w:after="100" w:afterAutospacing="1" w:line="240" w:lineRule="auto"/>
        <w:jc w:val="both"/>
        <w:rPr>
          <w:rFonts w:eastAsia="Times New Roman" w:cstheme="minorHAnsi"/>
          <w:i/>
          <w:iCs/>
          <w:lang w:eastAsia="it-IT"/>
        </w:rPr>
      </w:pPr>
      <w:r w:rsidRPr="003B5E60">
        <w:rPr>
          <w:rFonts w:eastAsia="Times New Roman" w:cstheme="minorHAnsi"/>
          <w:i/>
          <w:iCs/>
          <w:lang w:eastAsia="it-IT"/>
        </w:rPr>
        <w:t>Ai fini dell</w:t>
      </w:r>
      <w:r w:rsidR="003B5E60" w:rsidRPr="003B5E60">
        <w:rPr>
          <w:rFonts w:eastAsia="Times New Roman" w:cstheme="minorHAnsi"/>
          <w:i/>
          <w:iCs/>
          <w:lang w:eastAsia="it-IT"/>
        </w:rPr>
        <w:t>’</w:t>
      </w:r>
      <w:r w:rsidRPr="003B5E60">
        <w:rPr>
          <w:rFonts w:eastAsia="Times New Roman" w:cstheme="minorHAnsi"/>
          <w:i/>
          <w:iCs/>
          <w:lang w:eastAsia="it-IT"/>
        </w:rPr>
        <w:t>applicazione del presente principio, per la definizione di strumento finanziari derivato si fa riferimento ai principi contabili riconosciuti in ambito internazionale e compatibili con la disciplina in materia dell</w:t>
      </w:r>
      <w:r w:rsidR="003B5E60" w:rsidRPr="003B5E60">
        <w:rPr>
          <w:rFonts w:eastAsia="Times New Roman" w:cstheme="minorHAnsi"/>
          <w:i/>
          <w:iCs/>
          <w:lang w:eastAsia="it-IT"/>
        </w:rPr>
        <w:t>’</w:t>
      </w:r>
      <w:r w:rsidRPr="003B5E60">
        <w:rPr>
          <w:rFonts w:eastAsia="Times New Roman" w:cstheme="minorHAnsi"/>
          <w:i/>
          <w:iCs/>
          <w:lang w:eastAsia="it-IT"/>
        </w:rPr>
        <w:t>Unione europea.</w:t>
      </w:r>
    </w:p>
    <w:p w14:paraId="08DFF567" w14:textId="77777777" w:rsidR="000F01BC" w:rsidRPr="003B5E60" w:rsidRDefault="000F01BC" w:rsidP="003B5E60">
      <w:pPr>
        <w:spacing w:before="100" w:beforeAutospacing="1" w:after="100" w:afterAutospacing="1" w:line="240" w:lineRule="auto"/>
        <w:jc w:val="both"/>
        <w:rPr>
          <w:rFonts w:eastAsia="Times New Roman" w:cstheme="minorHAnsi"/>
          <w:b/>
          <w:bCs/>
          <w:i/>
          <w:iCs/>
          <w:u w:val="single"/>
          <w:lang w:eastAsia="it-IT"/>
        </w:rPr>
      </w:pPr>
      <w:r w:rsidRPr="003B5E60">
        <w:rPr>
          <w:rFonts w:eastAsia="Times New Roman" w:cstheme="minorHAnsi"/>
          <w:b/>
          <w:bCs/>
          <w:i/>
          <w:iCs/>
          <w:u w:val="single"/>
          <w:lang w:eastAsia="it-IT"/>
        </w:rPr>
        <w:t xml:space="preserve">Il principio poi pone attenzione sulla copertura degli investimenti, in particolare per gli enti che utilizzano il margine corrente per il finanziamento delle spese di investimento negli anni successivi a quello di riferimento: </w:t>
      </w:r>
    </w:p>
    <w:p w14:paraId="12D6308F" w14:textId="68ADC4B9" w:rsidR="000F01BC" w:rsidRPr="003B5E60" w:rsidRDefault="000F01BC" w:rsidP="003B5E60">
      <w:pPr>
        <w:tabs>
          <w:tab w:val="left" w:pos="993"/>
        </w:tabs>
        <w:spacing w:after="0" w:line="240" w:lineRule="auto"/>
        <w:contextualSpacing/>
        <w:jc w:val="both"/>
        <w:rPr>
          <w:rFonts w:eastAsia="Calibri" w:cstheme="minorHAnsi"/>
          <w:bCs/>
          <w:i/>
          <w:iCs/>
          <w:lang w:eastAsia="it-IT"/>
        </w:rPr>
      </w:pPr>
      <w:r w:rsidRPr="003B5E60">
        <w:rPr>
          <w:rFonts w:eastAsia="Times New Roman" w:cstheme="minorHAnsi"/>
          <w:bCs/>
          <w:i/>
          <w:iCs/>
          <w:lang w:eastAsia="it-IT"/>
        </w:rPr>
        <w:t>9.11.6  L</w:t>
      </w:r>
      <w:r w:rsidR="003B5E60" w:rsidRPr="003B5E60">
        <w:rPr>
          <w:rFonts w:eastAsia="Times New Roman" w:cstheme="minorHAnsi"/>
          <w:bCs/>
          <w:i/>
          <w:iCs/>
          <w:lang w:eastAsia="it-IT"/>
        </w:rPr>
        <w:t>’</w:t>
      </w:r>
      <w:r w:rsidRPr="003B5E60">
        <w:rPr>
          <w:rFonts w:eastAsia="Times New Roman" w:cstheme="minorHAnsi"/>
          <w:bCs/>
          <w:i/>
          <w:iCs/>
          <w:lang w:eastAsia="it-IT"/>
        </w:rPr>
        <w:t xml:space="preserve">articolo 11, comma 5, lettera d) del presente decreto prevede che la nota integrativa indichi </w:t>
      </w:r>
      <w:r w:rsidRPr="003B5E60">
        <w:rPr>
          <w:rFonts w:eastAsia="Calibri" w:cstheme="minorHAnsi"/>
          <w:bCs/>
          <w:i/>
          <w:iCs/>
          <w:lang w:eastAsia="it-IT"/>
        </w:rPr>
        <w:t>l</w:t>
      </w:r>
      <w:r w:rsidR="003B5E60" w:rsidRPr="003B5E60">
        <w:rPr>
          <w:rFonts w:eastAsia="Calibri" w:cstheme="minorHAnsi"/>
          <w:bCs/>
          <w:i/>
          <w:iCs/>
          <w:lang w:eastAsia="it-IT"/>
        </w:rPr>
        <w:t>’</w:t>
      </w:r>
      <w:r w:rsidRPr="003B5E60">
        <w:rPr>
          <w:rFonts w:eastAsia="Calibri" w:cstheme="minorHAnsi"/>
          <w:bCs/>
          <w:i/>
          <w:iCs/>
          <w:lang w:eastAsia="it-IT"/>
        </w:rPr>
        <w:t xml:space="preserve">elenco degli interventi programmati per spese di investimento finanziati col ricorso al debito e con le risorse disponibili. </w:t>
      </w:r>
    </w:p>
    <w:p w14:paraId="3E11A402" w14:textId="4E7C183C" w:rsidR="000F01BC" w:rsidRPr="003B5E60" w:rsidRDefault="000F01BC" w:rsidP="003B5E60">
      <w:pPr>
        <w:tabs>
          <w:tab w:val="left" w:pos="993"/>
        </w:tabs>
        <w:spacing w:after="0" w:line="240" w:lineRule="auto"/>
        <w:ind w:right="-2"/>
        <w:contextualSpacing/>
        <w:jc w:val="both"/>
        <w:rPr>
          <w:rFonts w:eastAsia="Calibri" w:cstheme="minorHAnsi"/>
          <w:bCs/>
          <w:i/>
          <w:iCs/>
          <w:lang w:eastAsia="it-IT"/>
        </w:rPr>
      </w:pPr>
      <w:r w:rsidRPr="003B5E60">
        <w:rPr>
          <w:rFonts w:eastAsia="Calibri" w:cstheme="minorHAnsi"/>
          <w:bCs/>
          <w:i/>
          <w:iCs/>
          <w:lang w:eastAsia="it-IT"/>
        </w:rPr>
        <w:t>L</w:t>
      </w:r>
      <w:r w:rsidR="003B5E60" w:rsidRPr="003B5E60">
        <w:rPr>
          <w:rFonts w:eastAsia="Calibri" w:cstheme="minorHAnsi"/>
          <w:bCs/>
          <w:i/>
          <w:iCs/>
          <w:lang w:eastAsia="it-IT"/>
        </w:rPr>
        <w:t>’</w:t>
      </w:r>
      <w:r w:rsidRPr="003B5E60">
        <w:rPr>
          <w:rFonts w:eastAsia="Calibri" w:cstheme="minorHAnsi"/>
          <w:bCs/>
          <w:i/>
          <w:iCs/>
          <w:lang w:eastAsia="it-IT"/>
        </w:rPr>
        <w:t>elenco degli interventi programmati per spese di investimento, articolato secondo la differente natura delle risorse disponibili, è predisposto con riferimento a ciascun esercizio considerato nel bilancio di previsione, attraverso l</w:t>
      </w:r>
      <w:r w:rsidR="003B5E60" w:rsidRPr="003B5E60">
        <w:rPr>
          <w:rFonts w:eastAsia="Calibri" w:cstheme="minorHAnsi"/>
          <w:bCs/>
          <w:i/>
          <w:iCs/>
          <w:lang w:eastAsia="it-IT"/>
        </w:rPr>
        <w:t>’</w:t>
      </w:r>
      <w:r w:rsidRPr="003B5E60">
        <w:rPr>
          <w:rFonts w:eastAsia="Calibri" w:cstheme="minorHAnsi"/>
          <w:bCs/>
          <w:i/>
          <w:iCs/>
          <w:lang w:eastAsia="it-IT"/>
        </w:rPr>
        <w:t>indicazione degli articoli/capitoli e dei relativi investimenti.</w:t>
      </w:r>
    </w:p>
    <w:p w14:paraId="45CDB432" w14:textId="77777777" w:rsidR="000F01BC" w:rsidRPr="003B5E60" w:rsidRDefault="000F01BC" w:rsidP="003B5E60">
      <w:pPr>
        <w:tabs>
          <w:tab w:val="left" w:pos="993"/>
        </w:tabs>
        <w:spacing w:after="0" w:line="240" w:lineRule="auto"/>
        <w:ind w:right="-2"/>
        <w:contextualSpacing/>
        <w:jc w:val="both"/>
        <w:rPr>
          <w:rFonts w:eastAsia="Calibri" w:cstheme="minorHAnsi"/>
          <w:bCs/>
          <w:i/>
          <w:iCs/>
          <w:lang w:eastAsia="it-IT"/>
        </w:rPr>
      </w:pPr>
      <w:r w:rsidRPr="003B5E60">
        <w:rPr>
          <w:rFonts w:eastAsia="Calibri" w:cstheme="minorHAnsi"/>
          <w:bCs/>
          <w:i/>
          <w:iCs/>
          <w:lang w:eastAsia="it-IT"/>
        </w:rPr>
        <w:t>Le risorse destinabili al finanziamento delle spese di investimento sono costituite da:</w:t>
      </w:r>
    </w:p>
    <w:p w14:paraId="7F86C956" w14:textId="77777777" w:rsidR="000F01BC" w:rsidRPr="003B5E60" w:rsidRDefault="000F01BC" w:rsidP="003B5E60">
      <w:pPr>
        <w:numPr>
          <w:ilvl w:val="0"/>
          <w:numId w:val="34"/>
        </w:numPr>
        <w:tabs>
          <w:tab w:val="left" w:pos="993"/>
        </w:tabs>
        <w:spacing w:after="0" w:line="240" w:lineRule="auto"/>
        <w:ind w:left="426" w:right="-2" w:hanging="284"/>
        <w:contextualSpacing/>
        <w:jc w:val="both"/>
        <w:rPr>
          <w:rFonts w:eastAsia="Calibri" w:cstheme="minorHAnsi"/>
          <w:bCs/>
          <w:i/>
          <w:iCs/>
          <w:lang w:eastAsia="it-IT"/>
        </w:rPr>
      </w:pPr>
      <w:r w:rsidRPr="003B5E60">
        <w:rPr>
          <w:rFonts w:eastAsia="Calibri" w:cstheme="minorHAnsi"/>
          <w:bCs/>
          <w:i/>
          <w:iCs/>
          <w:lang w:eastAsia="it-IT"/>
        </w:rPr>
        <w:t>le entrate correnti (titoli 1, 2 e 3) non destinate al finanziamento delle spese correnti e del rimborso dei prestiti;</w:t>
      </w:r>
    </w:p>
    <w:p w14:paraId="70E6ED03" w14:textId="77777777" w:rsidR="000F01BC" w:rsidRPr="003B5E60" w:rsidRDefault="000F01BC" w:rsidP="003B5E60">
      <w:pPr>
        <w:numPr>
          <w:ilvl w:val="0"/>
          <w:numId w:val="34"/>
        </w:numPr>
        <w:tabs>
          <w:tab w:val="left" w:pos="993"/>
        </w:tabs>
        <w:spacing w:after="0" w:line="240" w:lineRule="auto"/>
        <w:ind w:left="426" w:right="-2" w:hanging="284"/>
        <w:contextualSpacing/>
        <w:jc w:val="both"/>
        <w:rPr>
          <w:rFonts w:eastAsia="Calibri" w:cstheme="minorHAnsi"/>
          <w:bCs/>
          <w:i/>
          <w:iCs/>
          <w:lang w:eastAsia="it-IT"/>
        </w:rPr>
      </w:pPr>
      <w:r w:rsidRPr="003B5E60">
        <w:rPr>
          <w:rFonts w:eastAsia="Calibri" w:cstheme="minorHAnsi"/>
          <w:bCs/>
          <w:i/>
          <w:iCs/>
          <w:lang w:eastAsia="it-IT"/>
        </w:rPr>
        <w:t>le entrate in conto capitale (titolo 4);</w:t>
      </w:r>
    </w:p>
    <w:p w14:paraId="661F8732" w14:textId="565BA3EB" w:rsidR="000F01BC" w:rsidRPr="003B5E60" w:rsidRDefault="000F01BC" w:rsidP="003B5E60">
      <w:pPr>
        <w:numPr>
          <w:ilvl w:val="0"/>
          <w:numId w:val="34"/>
        </w:numPr>
        <w:tabs>
          <w:tab w:val="left" w:pos="993"/>
        </w:tabs>
        <w:spacing w:after="0" w:line="240" w:lineRule="auto"/>
        <w:ind w:left="426" w:right="-2" w:hanging="284"/>
        <w:contextualSpacing/>
        <w:jc w:val="both"/>
        <w:rPr>
          <w:rFonts w:eastAsia="Calibri" w:cstheme="minorHAnsi"/>
          <w:bCs/>
          <w:i/>
          <w:iCs/>
          <w:lang w:eastAsia="it-IT"/>
        </w:rPr>
      </w:pPr>
      <w:r w:rsidRPr="003B5E60">
        <w:rPr>
          <w:rFonts w:eastAsia="Calibri" w:cstheme="minorHAnsi"/>
          <w:bCs/>
          <w:i/>
          <w:iCs/>
          <w:lang w:eastAsia="it-IT"/>
        </w:rPr>
        <w:t>le entrate da riduzione di attività finanziarie (titolo 5) eccedenti rispetto alle spese per incremento delle attività finanziarie, destinabili al finanziamento degli investimenti oltre che all</w:t>
      </w:r>
      <w:r w:rsidR="003B5E60" w:rsidRPr="003B5E60">
        <w:rPr>
          <w:rFonts w:eastAsia="Calibri" w:cstheme="minorHAnsi"/>
          <w:bCs/>
          <w:i/>
          <w:iCs/>
          <w:lang w:eastAsia="it-IT"/>
        </w:rPr>
        <w:t>’</w:t>
      </w:r>
      <w:r w:rsidRPr="003B5E60">
        <w:rPr>
          <w:rFonts w:eastAsia="Calibri" w:cstheme="minorHAnsi"/>
          <w:bCs/>
          <w:i/>
          <w:iCs/>
          <w:lang w:eastAsia="it-IT"/>
        </w:rPr>
        <w:t>estinzione anticipata dei prestiti;</w:t>
      </w:r>
    </w:p>
    <w:p w14:paraId="629273C9" w14:textId="77777777" w:rsidR="000F01BC" w:rsidRPr="003B5E60" w:rsidRDefault="000F01BC" w:rsidP="003B5E60">
      <w:pPr>
        <w:numPr>
          <w:ilvl w:val="0"/>
          <w:numId w:val="34"/>
        </w:numPr>
        <w:tabs>
          <w:tab w:val="left" w:pos="993"/>
        </w:tabs>
        <w:spacing w:after="0" w:line="240" w:lineRule="auto"/>
        <w:ind w:left="426" w:right="-2" w:hanging="284"/>
        <w:contextualSpacing/>
        <w:jc w:val="both"/>
        <w:rPr>
          <w:rFonts w:eastAsia="Calibri" w:cstheme="minorHAnsi"/>
          <w:bCs/>
          <w:i/>
          <w:iCs/>
          <w:lang w:eastAsia="it-IT"/>
        </w:rPr>
      </w:pPr>
      <w:r w:rsidRPr="003B5E60">
        <w:rPr>
          <w:rFonts w:eastAsia="Calibri" w:cstheme="minorHAnsi"/>
          <w:bCs/>
          <w:i/>
          <w:iCs/>
          <w:lang w:eastAsia="it-IT"/>
        </w:rPr>
        <w:lastRenderedPageBreak/>
        <w:t xml:space="preserve">le entrate da accensione prestiti (Titolo 5), che costituiscono il ricorso al debito. </w:t>
      </w:r>
    </w:p>
    <w:p w14:paraId="2770D211" w14:textId="77777777" w:rsidR="000F01BC" w:rsidRPr="003B5E60" w:rsidRDefault="000F01BC" w:rsidP="000F01BC">
      <w:pPr>
        <w:spacing w:after="0" w:line="240" w:lineRule="auto"/>
        <w:jc w:val="both"/>
        <w:rPr>
          <w:rFonts w:eastAsia="Times New Roman" w:cstheme="minorHAnsi"/>
          <w:bCs/>
          <w:i/>
          <w:iCs/>
          <w:lang w:eastAsia="it-IT"/>
        </w:rPr>
      </w:pPr>
    </w:p>
    <w:p w14:paraId="2E37AD2B" w14:textId="4FB3F64A" w:rsidR="000F01BC" w:rsidRPr="003B5E60" w:rsidRDefault="000F01BC" w:rsidP="000F01BC">
      <w:pPr>
        <w:spacing w:after="0" w:line="240" w:lineRule="auto"/>
        <w:jc w:val="both"/>
        <w:rPr>
          <w:rFonts w:eastAsia="Times New Roman" w:cstheme="minorHAnsi"/>
          <w:bCs/>
          <w:i/>
          <w:iCs/>
          <w:lang w:eastAsia="it-IT"/>
        </w:rPr>
      </w:pPr>
      <w:r w:rsidRPr="003B5E60">
        <w:rPr>
          <w:rFonts w:eastAsia="Times New Roman" w:cstheme="minorHAnsi"/>
          <w:bCs/>
          <w:i/>
          <w:iCs/>
          <w:lang w:eastAsia="it-IT"/>
        </w:rPr>
        <w:t>Le risorse di cui alle lettere da b) a d) costituiscono copertura finanziaria degli impegni concernenti le spese di investimento a seguito dell</w:t>
      </w:r>
      <w:r w:rsidR="003B5E60" w:rsidRPr="003B5E60">
        <w:rPr>
          <w:rFonts w:eastAsia="Times New Roman" w:cstheme="minorHAnsi"/>
          <w:bCs/>
          <w:i/>
          <w:iCs/>
          <w:lang w:eastAsia="it-IT"/>
        </w:rPr>
        <w:t>’</w:t>
      </w:r>
      <w:r w:rsidRPr="003B5E60">
        <w:rPr>
          <w:rFonts w:eastAsia="Times New Roman" w:cstheme="minorHAnsi"/>
          <w:bCs/>
          <w:i/>
          <w:iCs/>
          <w:lang w:eastAsia="it-IT"/>
        </w:rPr>
        <w:t>accertamento delle entrate, esigibili nell</w:t>
      </w:r>
      <w:r w:rsidR="003B5E60" w:rsidRPr="003B5E60">
        <w:rPr>
          <w:rFonts w:eastAsia="Times New Roman" w:cstheme="minorHAnsi"/>
          <w:bCs/>
          <w:i/>
          <w:iCs/>
          <w:lang w:eastAsia="it-IT"/>
        </w:rPr>
        <w:t>’</w:t>
      </w:r>
      <w:r w:rsidRPr="003B5E60">
        <w:rPr>
          <w:rFonts w:eastAsia="Times New Roman" w:cstheme="minorHAnsi"/>
          <w:bCs/>
          <w:i/>
          <w:iCs/>
          <w:lang w:eastAsia="it-IT"/>
        </w:rPr>
        <w:t>esercizio in corso di gestione o la cui esigibilità è nella piena discrezionalità dell</w:t>
      </w:r>
      <w:r w:rsidR="003B5E60" w:rsidRPr="003B5E60">
        <w:rPr>
          <w:rFonts w:eastAsia="Times New Roman" w:cstheme="minorHAnsi"/>
          <w:bCs/>
          <w:i/>
          <w:iCs/>
          <w:lang w:eastAsia="it-IT"/>
        </w:rPr>
        <w:t>’</w:t>
      </w:r>
      <w:r w:rsidRPr="003B5E60">
        <w:rPr>
          <w:rFonts w:eastAsia="Times New Roman" w:cstheme="minorHAnsi"/>
          <w:bCs/>
          <w:i/>
          <w:iCs/>
          <w:lang w:eastAsia="it-IT"/>
        </w:rPr>
        <w:t xml:space="preserve">ente o di altra amministrazione pubblica. </w:t>
      </w:r>
    </w:p>
    <w:p w14:paraId="28FB200B" w14:textId="77777777" w:rsidR="000F01BC" w:rsidRPr="003B5E60" w:rsidRDefault="000F01BC" w:rsidP="000F01BC">
      <w:pPr>
        <w:spacing w:after="0" w:line="240" w:lineRule="auto"/>
        <w:jc w:val="both"/>
        <w:rPr>
          <w:rFonts w:eastAsia="Times New Roman" w:cstheme="minorHAnsi"/>
          <w:bCs/>
          <w:i/>
          <w:iCs/>
          <w:lang w:eastAsia="it-IT"/>
        </w:rPr>
      </w:pPr>
    </w:p>
    <w:p w14:paraId="4508FC2B" w14:textId="7A598CE7" w:rsidR="000F01BC" w:rsidRPr="003B5E60" w:rsidRDefault="000F01BC" w:rsidP="000F01BC">
      <w:pPr>
        <w:spacing w:after="0" w:line="240" w:lineRule="auto"/>
        <w:jc w:val="both"/>
        <w:rPr>
          <w:rFonts w:eastAsia="Times New Roman" w:cstheme="minorHAnsi"/>
          <w:bCs/>
          <w:i/>
          <w:iCs/>
          <w:lang w:eastAsia="it-IT"/>
        </w:rPr>
      </w:pPr>
      <w:r w:rsidRPr="003B5E60">
        <w:rPr>
          <w:rFonts w:eastAsia="Times New Roman" w:cstheme="minorHAnsi"/>
          <w:bCs/>
          <w:i/>
          <w:iCs/>
          <w:lang w:eastAsia="it-IT"/>
        </w:rPr>
        <w:t>Le risorse di cui alla lettera a) costituiscono copertura finanziaria alle spese di investimento, con modalità differenti per impegni imputati all</w:t>
      </w:r>
      <w:r w:rsidR="003B5E60" w:rsidRPr="003B5E60">
        <w:rPr>
          <w:rFonts w:eastAsia="Times New Roman" w:cstheme="minorHAnsi"/>
          <w:bCs/>
          <w:i/>
          <w:iCs/>
          <w:lang w:eastAsia="it-IT"/>
        </w:rPr>
        <w:t>’</w:t>
      </w:r>
      <w:r w:rsidRPr="003B5E60">
        <w:rPr>
          <w:rFonts w:eastAsia="Times New Roman" w:cstheme="minorHAnsi"/>
          <w:bCs/>
          <w:i/>
          <w:iCs/>
          <w:lang w:eastAsia="it-IT"/>
        </w:rPr>
        <w:t>esercizio in corso di gestione o per gli impegni imputati agli esercizi successivi.</w:t>
      </w:r>
    </w:p>
    <w:p w14:paraId="04BEE3FA" w14:textId="2CBBE7BC" w:rsidR="000F01BC" w:rsidRPr="003B5E60" w:rsidRDefault="000F01BC" w:rsidP="000F01BC">
      <w:pPr>
        <w:spacing w:after="0" w:line="240" w:lineRule="auto"/>
        <w:jc w:val="both"/>
        <w:rPr>
          <w:rFonts w:eastAsia="Times New Roman" w:cstheme="minorHAnsi"/>
          <w:bCs/>
          <w:i/>
          <w:iCs/>
          <w:lang w:eastAsia="it-IT"/>
        </w:rPr>
      </w:pPr>
      <w:r w:rsidRPr="003B5E60">
        <w:rPr>
          <w:rFonts w:eastAsia="Times New Roman" w:cstheme="minorHAnsi"/>
          <w:bCs/>
          <w:i/>
          <w:iCs/>
          <w:lang w:eastAsia="it-IT"/>
        </w:rPr>
        <w:t>Per gli impegni concernenti investimenti imputati all</w:t>
      </w:r>
      <w:r w:rsidR="003B5E60" w:rsidRPr="003B5E60">
        <w:rPr>
          <w:rFonts w:eastAsia="Times New Roman" w:cstheme="minorHAnsi"/>
          <w:bCs/>
          <w:i/>
          <w:iCs/>
          <w:lang w:eastAsia="it-IT"/>
        </w:rPr>
        <w:t>’</w:t>
      </w:r>
      <w:r w:rsidRPr="003B5E60">
        <w:rPr>
          <w:rFonts w:eastAsia="Times New Roman" w:cstheme="minorHAnsi"/>
          <w:bCs/>
          <w:i/>
          <w:iCs/>
          <w:lang w:eastAsia="it-IT"/>
        </w:rPr>
        <w:t>esercizio in corso di gestione, la copertura è costituita dall</w:t>
      </w:r>
      <w:r w:rsidR="003B5E60" w:rsidRPr="003B5E60">
        <w:rPr>
          <w:rFonts w:eastAsia="Times New Roman" w:cstheme="minorHAnsi"/>
          <w:bCs/>
          <w:i/>
          <w:iCs/>
          <w:lang w:eastAsia="it-IT"/>
        </w:rPr>
        <w:t>’</w:t>
      </w:r>
      <w:r w:rsidRPr="003B5E60">
        <w:rPr>
          <w:rFonts w:eastAsia="Times New Roman" w:cstheme="minorHAnsi"/>
          <w:bCs/>
          <w:i/>
          <w:iCs/>
          <w:lang w:eastAsia="it-IT"/>
        </w:rPr>
        <w:t>intero importo del saldo positivo di parte corrente previsto nel bilancio di previsione per l</w:t>
      </w:r>
      <w:r w:rsidR="003B5E60" w:rsidRPr="003B5E60">
        <w:rPr>
          <w:rFonts w:eastAsia="Times New Roman" w:cstheme="minorHAnsi"/>
          <w:bCs/>
          <w:i/>
          <w:iCs/>
          <w:lang w:eastAsia="it-IT"/>
        </w:rPr>
        <w:t>’</w:t>
      </w:r>
      <w:r w:rsidRPr="003B5E60">
        <w:rPr>
          <w:rFonts w:eastAsia="Times New Roman" w:cstheme="minorHAnsi"/>
          <w:bCs/>
          <w:i/>
          <w:iCs/>
          <w:lang w:eastAsia="it-IT"/>
        </w:rPr>
        <w:t xml:space="preserve">esercizio in corso di gestione.  </w:t>
      </w:r>
    </w:p>
    <w:p w14:paraId="2A3CA5F1" w14:textId="77777777" w:rsidR="000F01BC" w:rsidRPr="003B5E60" w:rsidRDefault="000F01BC" w:rsidP="000F01BC">
      <w:pPr>
        <w:spacing w:after="0" w:line="240" w:lineRule="auto"/>
        <w:jc w:val="both"/>
        <w:rPr>
          <w:rFonts w:eastAsia="Times New Roman" w:cstheme="minorHAnsi"/>
          <w:bCs/>
          <w:i/>
          <w:iCs/>
          <w:lang w:eastAsia="it-IT"/>
        </w:rPr>
      </w:pPr>
      <w:r w:rsidRPr="003B5E60">
        <w:rPr>
          <w:rFonts w:eastAsia="Times New Roman" w:cstheme="minorHAnsi"/>
          <w:bCs/>
          <w:i/>
          <w:iCs/>
          <w:lang w:eastAsia="it-IT"/>
        </w:rPr>
        <w:t xml:space="preserve">Per gli impegni concernenti investimenti imputati agli esercizi successivi a quello in corso di gestione la copertura è costituita da quota parte del saldo positivo di parte corrente previsto per ciascun esercizio se risultano rispettate una serie di condizioni previste dal principio contabile generale della competenza finanziaria, specificate nel principio applicato della contabilità finanziaria (da 5.3.5 a 5.3.10). </w:t>
      </w:r>
    </w:p>
    <w:p w14:paraId="73B6EA43" w14:textId="3FE854CC" w:rsidR="000F01BC" w:rsidRPr="003B5E60" w:rsidRDefault="000F01BC" w:rsidP="000F01BC">
      <w:pPr>
        <w:spacing w:after="0" w:line="240" w:lineRule="auto"/>
        <w:jc w:val="both"/>
        <w:rPr>
          <w:rFonts w:eastAsia="Times New Roman" w:cstheme="minorHAnsi"/>
          <w:bCs/>
          <w:i/>
          <w:iCs/>
          <w:lang w:eastAsia="it-IT"/>
        </w:rPr>
      </w:pPr>
      <w:r w:rsidRPr="003B5E60">
        <w:rPr>
          <w:rFonts w:eastAsia="Times New Roman" w:cstheme="minorHAnsi"/>
          <w:bCs/>
          <w:i/>
          <w:iCs/>
          <w:lang w:eastAsia="it-IT"/>
        </w:rPr>
        <w:t>Al fine di garantire la corretta applicazione di tali principi, nella sezione della nota integrativa riguardante l</w:t>
      </w:r>
      <w:r w:rsidR="003B5E60" w:rsidRPr="003B5E60">
        <w:rPr>
          <w:rFonts w:eastAsia="Times New Roman" w:cstheme="minorHAnsi"/>
          <w:bCs/>
          <w:i/>
          <w:iCs/>
          <w:lang w:eastAsia="it-IT"/>
        </w:rPr>
        <w:t>’</w:t>
      </w:r>
      <w:r w:rsidRPr="003B5E60">
        <w:rPr>
          <w:rFonts w:eastAsia="Times New Roman" w:cstheme="minorHAnsi"/>
          <w:bCs/>
          <w:i/>
          <w:iCs/>
          <w:lang w:eastAsia="it-IT"/>
        </w:rPr>
        <w:t>elenco degli interventi programmati per spese di investimento, è dedicata una particolare attenzione agli investimenti finanziati dalle previsioni di entrate correnti risultanti dal saldo positivo di parte corrente previsto nel prospetto degli equilibri allegato al bilancio di previsione.</w:t>
      </w:r>
    </w:p>
    <w:p w14:paraId="4B45F2C4" w14:textId="48029495" w:rsidR="000F01BC" w:rsidRPr="003B5E60" w:rsidRDefault="000F01BC" w:rsidP="000F01BC">
      <w:pPr>
        <w:spacing w:after="0" w:line="240" w:lineRule="auto"/>
        <w:jc w:val="both"/>
        <w:rPr>
          <w:rFonts w:eastAsia="Times New Roman" w:cstheme="minorHAnsi"/>
          <w:bCs/>
          <w:i/>
          <w:iCs/>
          <w:lang w:eastAsia="it-IT"/>
        </w:rPr>
      </w:pPr>
      <w:r w:rsidRPr="003B5E60">
        <w:rPr>
          <w:rFonts w:eastAsia="Times New Roman" w:cstheme="minorHAnsi"/>
          <w:bCs/>
          <w:i/>
          <w:iCs/>
          <w:lang w:eastAsia="it-IT"/>
        </w:rPr>
        <w:t>In relazione alla differente disciplina delle modalità di copertura e delle verifiche da effettuare ai fini dell</w:t>
      </w:r>
      <w:r w:rsidR="003B5E60" w:rsidRPr="003B5E60">
        <w:rPr>
          <w:rFonts w:eastAsia="Times New Roman" w:cstheme="minorHAnsi"/>
          <w:bCs/>
          <w:i/>
          <w:iCs/>
          <w:lang w:eastAsia="it-IT"/>
        </w:rPr>
        <w:t>’</w:t>
      </w:r>
      <w:r w:rsidRPr="003B5E60">
        <w:rPr>
          <w:rFonts w:eastAsia="Times New Roman" w:cstheme="minorHAnsi"/>
          <w:bCs/>
          <w:i/>
          <w:iCs/>
          <w:lang w:eastAsia="it-IT"/>
        </w:rPr>
        <w:t xml:space="preserve">attestazione della copertura finanziaria dei provvedimenti che danno luogo ad impegni concernenti investimenti, per ciascun esercizio compreso nel bilancio di previsione successivo a quello in corso di gestione, tale saldo positivo è distinto nelle seguenti componenti </w:t>
      </w:r>
      <w:r w:rsidRPr="003B5E60">
        <w:rPr>
          <w:rFonts w:eastAsia="Times New Roman" w:cstheme="minorHAnsi"/>
          <w:bCs/>
          <w:i/>
          <w:iCs/>
          <w:vertAlign w:val="superscript"/>
          <w:lang w:eastAsia="it-IT"/>
        </w:rPr>
        <w:footnoteReference w:id="2"/>
      </w:r>
      <w:r w:rsidRPr="003B5E60">
        <w:rPr>
          <w:rFonts w:eastAsia="Times New Roman" w:cstheme="minorHAnsi"/>
          <w:bCs/>
          <w:i/>
          <w:iCs/>
          <w:lang w:eastAsia="it-IT"/>
        </w:rPr>
        <w:t>:</w:t>
      </w:r>
    </w:p>
    <w:p w14:paraId="557F2EBB" w14:textId="77777777" w:rsidR="000F01BC" w:rsidRPr="003B5E60" w:rsidRDefault="000F01BC" w:rsidP="003B5E60">
      <w:pPr>
        <w:numPr>
          <w:ilvl w:val="0"/>
          <w:numId w:val="35"/>
        </w:numPr>
        <w:spacing w:after="0" w:line="240" w:lineRule="auto"/>
        <w:ind w:left="426" w:hanging="284"/>
        <w:contextualSpacing/>
        <w:jc w:val="both"/>
        <w:rPr>
          <w:rFonts w:eastAsia="Times New Roman" w:cstheme="minorHAnsi"/>
          <w:bCs/>
          <w:i/>
          <w:iCs/>
          <w:lang w:eastAsia="it-IT"/>
        </w:rPr>
      </w:pPr>
      <w:r w:rsidRPr="003B5E60">
        <w:rPr>
          <w:rFonts w:eastAsia="Times New Roman" w:cstheme="minorHAnsi"/>
          <w:bCs/>
          <w:i/>
          <w:iCs/>
          <w:lang w:eastAsia="it-IT"/>
        </w:rPr>
        <w:t>una quota di importo non superiore al limite previsto dal principio contabile generale n. 16, specificato dal principio applicato della contabilità finanziaria  n. 5.3.6,</w:t>
      </w:r>
    </w:p>
    <w:p w14:paraId="0B309A7F" w14:textId="0E5E9858" w:rsidR="000F01BC" w:rsidRPr="003B5E60" w:rsidRDefault="000F01BC" w:rsidP="003B5E60">
      <w:pPr>
        <w:numPr>
          <w:ilvl w:val="0"/>
          <w:numId w:val="35"/>
        </w:numPr>
        <w:spacing w:after="0" w:line="240" w:lineRule="auto"/>
        <w:ind w:left="426" w:hanging="284"/>
        <w:contextualSpacing/>
        <w:jc w:val="both"/>
        <w:rPr>
          <w:rFonts w:eastAsia="Times New Roman" w:cstheme="minorHAnsi"/>
          <w:bCs/>
          <w:i/>
          <w:iCs/>
          <w:lang w:eastAsia="it-IT"/>
        </w:rPr>
      </w:pPr>
      <w:r w:rsidRPr="003B5E60">
        <w:rPr>
          <w:rFonts w:eastAsia="Times New Roman" w:cstheme="minorHAnsi"/>
          <w:bCs/>
          <w:i/>
          <w:iCs/>
          <w:lang w:eastAsia="it-IT"/>
        </w:rPr>
        <w:t>una quota costituita dal 50% del margine corrente derivante dall</w:t>
      </w:r>
      <w:r w:rsidR="003B5E60" w:rsidRPr="003B5E60">
        <w:rPr>
          <w:rFonts w:eastAsia="Times New Roman" w:cstheme="minorHAnsi"/>
          <w:bCs/>
          <w:i/>
          <w:iCs/>
          <w:lang w:eastAsia="it-IT"/>
        </w:rPr>
        <w:t>’</w:t>
      </w:r>
      <w:r w:rsidRPr="003B5E60">
        <w:rPr>
          <w:rFonts w:eastAsia="Times New Roman" w:cstheme="minorHAnsi"/>
          <w:bCs/>
          <w:i/>
          <w:iCs/>
          <w:lang w:eastAsia="it-IT"/>
        </w:rPr>
        <w:t>applicazione di nuove o maggiori aliquote fiscali e dalla maggiorazione di oneri concessori e sanzioni, formalmente deliberate,</w:t>
      </w:r>
    </w:p>
    <w:p w14:paraId="62A3B674" w14:textId="77777777" w:rsidR="000F01BC" w:rsidRPr="003B5E60" w:rsidRDefault="000F01BC" w:rsidP="003B5E60">
      <w:pPr>
        <w:numPr>
          <w:ilvl w:val="0"/>
          <w:numId w:val="35"/>
        </w:numPr>
        <w:spacing w:after="0" w:line="240" w:lineRule="auto"/>
        <w:ind w:left="426" w:hanging="284"/>
        <w:contextualSpacing/>
        <w:jc w:val="both"/>
        <w:rPr>
          <w:rFonts w:eastAsia="Times New Roman" w:cstheme="minorHAnsi"/>
          <w:bCs/>
          <w:i/>
          <w:iCs/>
          <w:lang w:eastAsia="it-IT"/>
        </w:rPr>
      </w:pPr>
      <w:r w:rsidRPr="003B5E60">
        <w:rPr>
          <w:rFonts w:eastAsia="Times New Roman" w:cstheme="minorHAnsi"/>
          <w:bCs/>
          <w:i/>
          <w:iCs/>
          <w:lang w:eastAsia="it-IT"/>
        </w:rPr>
        <w:t>una quota derivante da riduzioni permanenti di spese correnti, già realizzate, risultanti da un titolo giuridico perfezionato.</w:t>
      </w:r>
    </w:p>
    <w:p w14:paraId="3D9B6272" w14:textId="77777777" w:rsidR="000F01BC" w:rsidRPr="003B5E60" w:rsidRDefault="000F01BC" w:rsidP="000F01BC">
      <w:pPr>
        <w:spacing w:after="0" w:line="240" w:lineRule="auto"/>
        <w:contextualSpacing/>
        <w:jc w:val="both"/>
        <w:rPr>
          <w:rFonts w:eastAsia="Times New Roman" w:cstheme="minorHAnsi"/>
          <w:bCs/>
          <w:i/>
          <w:iCs/>
          <w:lang w:eastAsia="it-IT"/>
        </w:rPr>
      </w:pPr>
    </w:p>
    <w:p w14:paraId="0D1C953F" w14:textId="77777777" w:rsidR="000F01BC" w:rsidRPr="003B5E60" w:rsidRDefault="000F01BC" w:rsidP="000F01BC">
      <w:pPr>
        <w:spacing w:after="0" w:line="240" w:lineRule="auto"/>
        <w:contextualSpacing/>
        <w:jc w:val="both"/>
        <w:rPr>
          <w:rFonts w:eastAsia="Times New Roman" w:cstheme="minorHAnsi"/>
          <w:bCs/>
          <w:i/>
          <w:iCs/>
          <w:lang w:eastAsia="it-IT"/>
        </w:rPr>
      </w:pPr>
      <w:r w:rsidRPr="003B5E60">
        <w:rPr>
          <w:rFonts w:eastAsia="Times New Roman" w:cstheme="minorHAnsi"/>
          <w:bCs/>
          <w:i/>
          <w:iCs/>
          <w:lang w:eastAsia="it-IT"/>
        </w:rPr>
        <w:t>Con riferimento a ciascuna quota del saldo positivo di parte corrente previsto nel prospetto degli equilibri allegato al bilancio relativo agli esercizi successivi al primo, la nota integrativa:</w:t>
      </w:r>
    </w:p>
    <w:p w14:paraId="1C963F98" w14:textId="77777777" w:rsidR="000F01BC" w:rsidRPr="003B5E60" w:rsidRDefault="000F01BC" w:rsidP="003B5E60">
      <w:pPr>
        <w:numPr>
          <w:ilvl w:val="0"/>
          <w:numId w:val="36"/>
        </w:numPr>
        <w:tabs>
          <w:tab w:val="left" w:pos="567"/>
        </w:tabs>
        <w:spacing w:after="0" w:line="240" w:lineRule="auto"/>
        <w:ind w:left="426" w:hanging="284"/>
        <w:contextualSpacing/>
        <w:jc w:val="both"/>
        <w:rPr>
          <w:rFonts w:eastAsia="Times New Roman" w:cstheme="minorHAnsi"/>
          <w:bCs/>
          <w:i/>
          <w:iCs/>
          <w:lang w:eastAsia="it-IT"/>
        </w:rPr>
      </w:pPr>
      <w:r w:rsidRPr="003B5E60">
        <w:rPr>
          <w:rFonts w:eastAsia="Times New Roman" w:cstheme="minorHAnsi"/>
          <w:bCs/>
          <w:i/>
          <w:iCs/>
          <w:lang w:eastAsia="it-IT"/>
        </w:rPr>
        <w:t xml:space="preserve">descrive le modalità di quantificazione della stessa; </w:t>
      </w:r>
    </w:p>
    <w:p w14:paraId="4B127C6A" w14:textId="77777777" w:rsidR="000F01BC" w:rsidRPr="003B5E60" w:rsidRDefault="000F01BC" w:rsidP="003B5E60">
      <w:pPr>
        <w:numPr>
          <w:ilvl w:val="0"/>
          <w:numId w:val="36"/>
        </w:numPr>
        <w:tabs>
          <w:tab w:val="left" w:pos="567"/>
        </w:tabs>
        <w:spacing w:after="0" w:line="240" w:lineRule="auto"/>
        <w:ind w:left="426" w:hanging="284"/>
        <w:contextualSpacing/>
        <w:jc w:val="both"/>
        <w:rPr>
          <w:rFonts w:eastAsia="Times New Roman" w:cstheme="minorHAnsi"/>
          <w:bCs/>
          <w:i/>
          <w:iCs/>
          <w:lang w:eastAsia="it-IT"/>
        </w:rPr>
      </w:pPr>
      <w:r w:rsidRPr="003B5E60">
        <w:rPr>
          <w:rFonts w:eastAsia="Times New Roman" w:cstheme="minorHAnsi"/>
          <w:bCs/>
          <w:i/>
          <w:iCs/>
          <w:lang w:eastAsia="it-IT"/>
        </w:rPr>
        <w:t>da atto del rispetto delle condizioni e dei limiti previsti dal principio contabile generale n. 16 della competenza finanziaria e dei relativi principi applicati;</w:t>
      </w:r>
    </w:p>
    <w:p w14:paraId="1F3BD251" w14:textId="53B17F32" w:rsidR="000F01BC" w:rsidRPr="003B5E60" w:rsidRDefault="000F01BC" w:rsidP="003B5E60">
      <w:pPr>
        <w:numPr>
          <w:ilvl w:val="0"/>
          <w:numId w:val="36"/>
        </w:numPr>
        <w:tabs>
          <w:tab w:val="left" w:pos="567"/>
        </w:tabs>
        <w:spacing w:after="0" w:line="240" w:lineRule="auto"/>
        <w:ind w:left="426" w:hanging="284"/>
        <w:contextualSpacing/>
        <w:jc w:val="both"/>
        <w:rPr>
          <w:rFonts w:eastAsia="Times New Roman" w:cstheme="minorHAnsi"/>
          <w:bCs/>
          <w:i/>
          <w:iCs/>
          <w:lang w:eastAsia="it-IT"/>
        </w:rPr>
      </w:pPr>
      <w:r w:rsidRPr="003B5E60">
        <w:rPr>
          <w:rFonts w:eastAsia="Times New Roman" w:cstheme="minorHAnsi"/>
          <w:bCs/>
          <w:i/>
          <w:iCs/>
          <w:lang w:eastAsia="it-IT"/>
        </w:rPr>
        <w:t>riporta l</w:t>
      </w:r>
      <w:r w:rsidR="003B5E60" w:rsidRPr="003B5E60">
        <w:rPr>
          <w:rFonts w:eastAsia="Times New Roman" w:cstheme="minorHAnsi"/>
          <w:bCs/>
          <w:i/>
          <w:iCs/>
          <w:lang w:eastAsia="it-IT"/>
        </w:rPr>
        <w:t>’</w:t>
      </w:r>
      <w:r w:rsidRPr="003B5E60">
        <w:rPr>
          <w:rFonts w:eastAsia="Times New Roman" w:cstheme="minorHAnsi"/>
          <w:bCs/>
          <w:i/>
          <w:iCs/>
          <w:lang w:eastAsia="it-IT"/>
        </w:rPr>
        <w:t>elenco dei capitoli/articoli di spesa concernenti gli investimenti che si prevede di stanziare nel bilancio gestionale/PEG per gli esercizi successivi a quello in corso di gestione, e di cui ciascuna componente del saldo positivo costituisce la copertura finanziaria.</w:t>
      </w:r>
    </w:p>
    <w:p w14:paraId="55001ECD" w14:textId="77777777" w:rsidR="000F01BC" w:rsidRPr="003B5E60" w:rsidRDefault="000F01BC" w:rsidP="000F01BC">
      <w:pPr>
        <w:spacing w:after="0" w:line="240" w:lineRule="auto"/>
        <w:contextualSpacing/>
        <w:jc w:val="both"/>
        <w:rPr>
          <w:rFonts w:eastAsia="Times New Roman" w:cstheme="minorHAnsi"/>
          <w:bCs/>
          <w:i/>
          <w:iCs/>
          <w:lang w:eastAsia="it-IT"/>
        </w:rPr>
      </w:pPr>
    </w:p>
    <w:p w14:paraId="00AA9337" w14:textId="787B48B7" w:rsidR="000F01BC" w:rsidRPr="003B5E60" w:rsidRDefault="000F01BC" w:rsidP="000F01BC">
      <w:pPr>
        <w:spacing w:after="0" w:line="240" w:lineRule="auto"/>
        <w:contextualSpacing/>
        <w:jc w:val="both"/>
        <w:rPr>
          <w:rFonts w:eastAsia="Times New Roman" w:cstheme="minorHAnsi"/>
          <w:bCs/>
          <w:i/>
          <w:iCs/>
          <w:lang w:eastAsia="it-IT"/>
        </w:rPr>
      </w:pPr>
      <w:r w:rsidRPr="003B5E60">
        <w:rPr>
          <w:rFonts w:eastAsia="Times New Roman" w:cstheme="minorHAnsi"/>
          <w:bCs/>
          <w:i/>
          <w:iCs/>
          <w:lang w:eastAsia="it-IT"/>
        </w:rPr>
        <w:t>In occasione dell</w:t>
      </w:r>
      <w:r w:rsidR="003B5E60" w:rsidRPr="003B5E60">
        <w:rPr>
          <w:rFonts w:eastAsia="Times New Roman" w:cstheme="minorHAnsi"/>
          <w:bCs/>
          <w:i/>
          <w:iCs/>
          <w:lang w:eastAsia="it-IT"/>
        </w:rPr>
        <w:t>’</w:t>
      </w:r>
      <w:r w:rsidRPr="003B5E60">
        <w:rPr>
          <w:rFonts w:eastAsia="Times New Roman" w:cstheme="minorHAnsi"/>
          <w:bCs/>
          <w:i/>
          <w:iCs/>
          <w:lang w:eastAsia="it-IT"/>
        </w:rPr>
        <w:t xml:space="preserve">attestazione di copertura finanziaria, la consueta verifica concernente la </w:t>
      </w:r>
    </w:p>
    <w:p w14:paraId="2ADE584F" w14:textId="4A4857FC" w:rsidR="000F01BC" w:rsidRPr="003B5E60" w:rsidRDefault="000F01BC" w:rsidP="000F01BC">
      <w:pPr>
        <w:spacing w:after="0" w:line="240" w:lineRule="auto"/>
        <w:contextualSpacing/>
        <w:jc w:val="both"/>
        <w:rPr>
          <w:rFonts w:eastAsia="Times New Roman" w:cstheme="minorHAnsi"/>
          <w:bCs/>
          <w:i/>
          <w:iCs/>
          <w:lang w:eastAsia="it-IT"/>
        </w:rPr>
      </w:pPr>
      <w:r w:rsidRPr="003B5E60">
        <w:rPr>
          <w:rFonts w:eastAsia="Times New Roman" w:cstheme="minorHAnsi"/>
          <w:bCs/>
          <w:i/>
          <w:iCs/>
          <w:lang w:eastAsia="it-IT"/>
        </w:rPr>
        <w:t>capienza degli stanziamenti, sia riferiti all</w:t>
      </w:r>
      <w:r w:rsidR="003B5E60" w:rsidRPr="003B5E60">
        <w:rPr>
          <w:rFonts w:eastAsia="Times New Roman" w:cstheme="minorHAnsi"/>
          <w:bCs/>
          <w:i/>
          <w:iCs/>
          <w:lang w:eastAsia="it-IT"/>
        </w:rPr>
        <w:t>’</w:t>
      </w:r>
      <w:r w:rsidRPr="003B5E60">
        <w:rPr>
          <w:rFonts w:eastAsia="Times New Roman" w:cstheme="minorHAnsi"/>
          <w:bCs/>
          <w:i/>
          <w:iCs/>
          <w:lang w:eastAsia="it-IT"/>
        </w:rPr>
        <w:t>esercizio in corso che a quelli successivi, riguardanti tali capitoli/articoli costituisce il riscontro della copertura finanziaria dei provvedimenti che comportano impegni per investimenti finanziati dal saldo positivo di parte corrente previsto nel prospetto degli equilibri allegato al bilancio.</w:t>
      </w:r>
    </w:p>
    <w:p w14:paraId="2EEE9270" w14:textId="77777777" w:rsidR="000F01BC" w:rsidRPr="003B5E60" w:rsidRDefault="000F01BC" w:rsidP="003B5E60">
      <w:pPr>
        <w:autoSpaceDE w:val="0"/>
        <w:autoSpaceDN w:val="0"/>
        <w:adjustRightInd w:val="0"/>
        <w:spacing w:after="0" w:line="240" w:lineRule="auto"/>
        <w:ind w:right="-2"/>
        <w:contextualSpacing/>
        <w:jc w:val="both"/>
        <w:rPr>
          <w:rFonts w:eastAsia="Times New Roman" w:cstheme="minorHAnsi"/>
          <w:bCs/>
          <w:i/>
          <w:iCs/>
          <w:lang w:eastAsia="zh-TW"/>
        </w:rPr>
      </w:pPr>
    </w:p>
    <w:p w14:paraId="50EFB242" w14:textId="6A415028" w:rsidR="000F01BC" w:rsidRPr="003B5E60" w:rsidRDefault="000F01BC" w:rsidP="000F01BC">
      <w:pPr>
        <w:autoSpaceDE w:val="0"/>
        <w:autoSpaceDN w:val="0"/>
        <w:adjustRightInd w:val="0"/>
        <w:spacing w:after="0" w:line="240" w:lineRule="auto"/>
        <w:ind w:right="-284"/>
        <w:contextualSpacing/>
        <w:jc w:val="both"/>
        <w:rPr>
          <w:rFonts w:cstheme="minorHAnsi"/>
        </w:rPr>
      </w:pPr>
      <w:r w:rsidRPr="003B5E60">
        <w:rPr>
          <w:rFonts w:eastAsia="Times New Roman" w:cstheme="minorHAnsi"/>
          <w:bCs/>
          <w:i/>
          <w:iCs/>
          <w:lang w:eastAsia="zh-TW"/>
        </w:rPr>
        <w:lastRenderedPageBreak/>
        <w:t>In occasione di variazioni di bilancio che modificano la previsione del margine corrente è possibile variare anche la sezione della nota integrativa che elenca gli investimenti finanziati con la previsione del margine corrente, al fine di consentire le attestazioni di copertura finanziaria di provvedimenti che comportano impegni per investimenti.</w:t>
      </w:r>
    </w:p>
    <w:sectPr w:rsidR="000F01BC" w:rsidRPr="003B5E60" w:rsidSect="00422513">
      <w:headerReference w:type="default" r:id="rId11"/>
      <w:footerReference w:type="default" r:id="rId12"/>
      <w:footerReference w:type="first" r:id="rId13"/>
      <w:pgSz w:w="11906" w:h="16838"/>
      <w:pgMar w:top="226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8573" w14:textId="77777777" w:rsidR="00037858" w:rsidRDefault="00037858" w:rsidP="00542C1C">
      <w:pPr>
        <w:spacing w:after="0" w:line="240" w:lineRule="auto"/>
      </w:pPr>
      <w:r>
        <w:separator/>
      </w:r>
    </w:p>
  </w:endnote>
  <w:endnote w:type="continuationSeparator" w:id="0">
    <w:p w14:paraId="2857E53D" w14:textId="77777777" w:rsidR="00037858" w:rsidRDefault="00037858" w:rsidP="0054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Klee One"/>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8635" w14:textId="77777777" w:rsidR="009071AE" w:rsidRDefault="009071AE" w:rsidP="005F2970">
    <w:pPr>
      <w:pStyle w:val="Pidipagina"/>
      <w:jc w:val="right"/>
    </w:pPr>
    <w:r w:rsidRPr="00E16428">
      <w:rPr>
        <w:noProof/>
        <w:sz w:val="8"/>
      </w:rPr>
      <mc:AlternateContent>
        <mc:Choice Requires="wps">
          <w:drawing>
            <wp:anchor distT="0" distB="0" distL="114300" distR="114300" simplePos="0" relativeHeight="251666432" behindDoc="0" locked="0" layoutInCell="0" allowOverlap="1" wp14:anchorId="189862EB" wp14:editId="2D964AF3">
              <wp:simplePos x="0" y="0"/>
              <wp:positionH relativeFrom="rightMargin">
                <wp:posOffset>379095</wp:posOffset>
              </wp:positionH>
              <wp:positionV relativeFrom="margin">
                <wp:posOffset>4027170</wp:posOffset>
              </wp:positionV>
              <wp:extent cx="643255" cy="329565"/>
              <wp:effectExtent l="0" t="0" r="4445" b="0"/>
              <wp:wrapNone/>
              <wp:docPr id="234" name="Rettangol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34B0D" w14:textId="77777777" w:rsidR="009071AE" w:rsidRDefault="009071AE" w:rsidP="009071AE">
                          <w:pPr>
                            <w:shd w:val="clear" w:color="auto" w:fill="990000"/>
                            <w:jc w:val="cente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89862EB" id="Rettangolo 234" o:spid="_x0000_s1031" style="position:absolute;left:0;text-align:left;margin-left:29.85pt;margin-top:317.1pt;width:50.65pt;height:25.9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" o:allowincell="f" stroked="f">
              <v:textbox>
                <w:txbxContent>
                  <w:p w14:paraId="59534B0D" w14:textId="77777777" w:rsidR="009071AE" w:rsidRDefault="009071AE" w:rsidP="009071AE">
                    <w:pPr>
                      <w:shd w:val="clear" w:color="auto" w:fill="990000"/>
                      <w:jc w:val="center"/>
                    </w:pPr>
                    <w:r>
                      <w:fldChar w:fldCharType="begin"/>
                    </w:r>
                    <w:r>
                      <w:instrText>PAGE   \* MERGEFORMAT</w:instrText>
                    </w:r>
                    <w:r>
                      <w:fldChar w:fldCharType="separate"/>
                    </w:r>
                    <w:r>
                      <w:t>2</w:t>
                    </w:r>
                    <w: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64B8" w14:textId="15C3C6ED" w:rsidR="003B5E60" w:rsidRDefault="003B5E60">
    <w:pPr>
      <w:pStyle w:val="Pidipagina"/>
    </w:pPr>
    <w:r>
      <w:rPr>
        <w:noProof/>
      </w:rPr>
      <w:drawing>
        <wp:anchor distT="0" distB="0" distL="114300" distR="114300" simplePos="0" relativeHeight="251674624" behindDoc="0" locked="0" layoutInCell="1" allowOverlap="1" wp14:anchorId="12B31DEF" wp14:editId="5440C013">
          <wp:simplePos x="0" y="0"/>
          <wp:positionH relativeFrom="column">
            <wp:posOffset>-1117282</wp:posOffset>
          </wp:positionH>
          <wp:positionV relativeFrom="paragraph">
            <wp:posOffset>-1784830</wp:posOffset>
          </wp:positionV>
          <wp:extent cx="2872800" cy="2721600"/>
          <wp:effectExtent l="0" t="318" r="3493" b="3492"/>
          <wp:wrapNone/>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EC6E" w14:textId="77777777" w:rsidR="00037858" w:rsidRDefault="00037858" w:rsidP="00542C1C">
      <w:pPr>
        <w:spacing w:after="0" w:line="240" w:lineRule="auto"/>
      </w:pPr>
      <w:r>
        <w:separator/>
      </w:r>
    </w:p>
  </w:footnote>
  <w:footnote w:type="continuationSeparator" w:id="0">
    <w:p w14:paraId="30B3DA53" w14:textId="77777777" w:rsidR="00037858" w:rsidRDefault="00037858" w:rsidP="00542C1C">
      <w:pPr>
        <w:spacing w:after="0" w:line="240" w:lineRule="auto"/>
      </w:pPr>
      <w:r>
        <w:continuationSeparator/>
      </w:r>
    </w:p>
  </w:footnote>
  <w:footnote w:id="1">
    <w:p w14:paraId="412FF9A1" w14:textId="77777777" w:rsidR="000F01BC" w:rsidRDefault="000F01BC" w:rsidP="000F01BC">
      <w:pPr>
        <w:pStyle w:val="Testonotaapidipagina"/>
      </w:pPr>
      <w:r>
        <w:rPr>
          <w:rStyle w:val="Rimandonotaapidipagina"/>
        </w:rPr>
        <w:footnoteRef/>
      </w:r>
      <w:r>
        <w:t xml:space="preserve"> Indicare il numero effettivo di giorni in caso di estinzione in corso di anno.</w:t>
      </w:r>
    </w:p>
  </w:footnote>
  <w:footnote w:id="2">
    <w:p w14:paraId="137AC941" w14:textId="2C7CAFA7" w:rsidR="000F01BC" w:rsidRDefault="000F01BC" w:rsidP="000F01BC">
      <w:pPr>
        <w:pStyle w:val="Testonotaapidipagina"/>
      </w:pPr>
      <w:r>
        <w:rPr>
          <w:rStyle w:val="Rimandonotaapidipagina"/>
        </w:rPr>
        <w:footnoteRef/>
      </w:r>
      <w:r>
        <w:t xml:space="preserve"> La seconda e terza componente è eventuale. </w:t>
      </w:r>
    </w:p>
    <w:p w14:paraId="688868B2" w14:textId="66ACEFDC" w:rsidR="000F01BC" w:rsidRDefault="000F01BC" w:rsidP="000F01BC">
      <w:pPr>
        <w:pStyle w:val="Testonotaapidipagina"/>
      </w:pPr>
      <w:r>
        <w:t>Non esistono se non sono previste riduzioni permanenti delle spese correnti o incrementi delle aliquote tributarie.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0581" w14:textId="73BB06F5" w:rsidR="006B6478" w:rsidRPr="009A1190" w:rsidRDefault="000A21BB" w:rsidP="005F2970">
    <w:pPr>
      <w:pStyle w:val="Intestazione"/>
      <w:rPr>
        <w:sz w:val="8"/>
      </w:rPr>
    </w:pPr>
    <w:r w:rsidRPr="007D2841">
      <w:rPr>
        <w:noProof/>
        <w:lang w:eastAsia="it-IT"/>
      </w:rPr>
      <w:drawing>
        <wp:anchor distT="0" distB="0" distL="114300" distR="114300" simplePos="0" relativeHeight="251670528" behindDoc="0" locked="0" layoutInCell="1" allowOverlap="1" wp14:anchorId="03237C9D" wp14:editId="3C1DCD3C">
          <wp:simplePos x="0" y="0"/>
          <wp:positionH relativeFrom="margin">
            <wp:posOffset>3857943</wp:posOffset>
          </wp:positionH>
          <wp:positionV relativeFrom="paragraph">
            <wp:posOffset>320675</wp:posOffset>
          </wp:positionV>
          <wp:extent cx="755650" cy="286385"/>
          <wp:effectExtent l="0" t="0" r="6350" b="0"/>
          <wp:wrapNone/>
          <wp:docPr id="18"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w:drawing>
        <wp:anchor distT="0" distB="0" distL="114300" distR="114300" simplePos="0" relativeHeight="251672576" behindDoc="0" locked="0" layoutInCell="1" allowOverlap="1" wp14:anchorId="60073C60" wp14:editId="2F1CC0AF">
          <wp:simplePos x="0" y="0"/>
          <wp:positionH relativeFrom="margin">
            <wp:posOffset>4693920</wp:posOffset>
          </wp:positionH>
          <wp:positionV relativeFrom="paragraph">
            <wp:posOffset>283527</wp:posOffset>
          </wp:positionV>
          <wp:extent cx="791845" cy="379730"/>
          <wp:effectExtent l="0" t="0" r="8255"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184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87">
      <w:rPr>
        <w:noProof/>
        <w:lang w:eastAsia="it-IT"/>
      </w:rPr>
      <w:drawing>
        <wp:anchor distT="0" distB="0" distL="114300" distR="114300" simplePos="0" relativeHeight="251668480" behindDoc="0" locked="0" layoutInCell="1" allowOverlap="1" wp14:anchorId="6E3FE30E" wp14:editId="441CE3E5">
          <wp:simplePos x="0" y="0"/>
          <wp:positionH relativeFrom="column">
            <wp:posOffset>2707640</wp:posOffset>
          </wp:positionH>
          <wp:positionV relativeFrom="paragraph">
            <wp:posOffset>314325</wp:posOffset>
          </wp:positionV>
          <wp:extent cx="1044000" cy="340678"/>
          <wp:effectExtent l="0" t="0" r="3810" b="2540"/>
          <wp:wrapNone/>
          <wp:docPr id="5"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40678"/>
                  </a:xfrm>
                  <a:prstGeom prst="rect">
                    <a:avLst/>
                  </a:prstGeom>
                </pic:spPr>
              </pic:pic>
            </a:graphicData>
          </a:graphic>
          <wp14:sizeRelH relativeFrom="margin">
            <wp14:pctWidth>0</wp14:pctWidth>
          </wp14:sizeRelH>
          <wp14:sizeRelV relativeFrom="margin">
            <wp14:pctHeight>0</wp14:pctHeight>
          </wp14:sizeRelV>
        </wp:anchor>
      </w:drawing>
    </w:r>
    <w:r w:rsidR="009424E3">
      <w:rPr>
        <w:noProof/>
        <w:lang w:eastAsia="it-IT"/>
      </w:rPr>
      <mc:AlternateContent>
        <mc:Choice Requires="wps">
          <w:drawing>
            <wp:anchor distT="0" distB="0" distL="114300" distR="114300" simplePos="0" relativeHeight="251657216" behindDoc="0" locked="0" layoutInCell="1" allowOverlap="1" wp14:anchorId="06DD21BD" wp14:editId="596A4A17">
              <wp:simplePos x="0" y="0"/>
              <wp:positionH relativeFrom="column">
                <wp:posOffset>1144905</wp:posOffset>
              </wp:positionH>
              <wp:positionV relativeFrom="paragraph">
                <wp:posOffset>382270</wp:posOffset>
              </wp:positionV>
              <wp:extent cx="1512000" cy="19800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198000"/>
                      </a:xfrm>
                      <a:prstGeom prst="rect">
                        <a:avLst/>
                      </a:prstGeom>
                      <a:solidFill>
                        <a:srgbClr val="990000"/>
                      </a:solidFill>
                      <a:ln w="9525">
                        <a:noFill/>
                        <a:miter lim="800000"/>
                        <a:headEnd/>
                        <a:tailEnd/>
                      </a:ln>
                    </wps:spPr>
                    <wps:txbx>
                      <w:txbxContent>
                        <w:p w14:paraId="247022F7" w14:textId="3D0478B7" w:rsidR="006B6478" w:rsidRPr="00977D51" w:rsidRDefault="006D2F9D" w:rsidP="006D2F9D">
                          <w:pPr>
                            <w:spacing w:after="0" w:line="240" w:lineRule="auto"/>
                            <w:jc w:val="center"/>
                            <w:rPr>
                              <w:b/>
                              <w:bCs/>
                              <w:smallCaps/>
                              <w:color w:val="FFFFFF" w:themeColor="background1"/>
                              <w:sz w:val="20"/>
                              <w:szCs w:val="20"/>
                            </w:rPr>
                          </w:pPr>
                          <w:r>
                            <w:rPr>
                              <w:b/>
                              <w:bCs/>
                              <w:smallCaps/>
                              <w:color w:val="FFFFFF" w:themeColor="background1"/>
                              <w:sz w:val="20"/>
                              <w:szCs w:val="20"/>
                            </w:rPr>
                            <w:t>DOCUMENTO</w:t>
                          </w:r>
                        </w:p>
                      </w:txbxContent>
                    </wps:txbx>
                    <wps:bodyPr rot="0" vert="horz" wrap="square" lIns="91440" tIns="0" rIns="91440" bIns="0" anchor="ctr" anchorCtr="0">
                      <a:noAutofit/>
                    </wps:bodyPr>
                  </wps:wsp>
                </a:graphicData>
              </a:graphic>
              <wp14:sizeRelH relativeFrom="margin">
                <wp14:pctWidth>0</wp14:pctWidth>
              </wp14:sizeRelH>
            </wp:anchor>
          </w:drawing>
        </mc:Choice>
        <mc:Fallback>
          <w:pict>
            <v:shapetype w14:anchorId="06DD21BD" id="_x0000_t202" coordsize="21600,21600" o:spt="202" path="m,l,21600r21600,l21600,xe">
              <v:stroke joinstyle="miter"/>
              <v:path gradientshapeok="t" o:connecttype="rect"/>
            </v:shapetype>
            <v:shape id="Casella di testo 24" o:spid="_x0000_s1027" type="#_x0000_t202" style="position:absolute;margin-left:90.15pt;margin-top:30.1pt;width:119.05pt;height:15.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" fillcolor="#900" stroked="f">
              <v:textbox inset=",0,,0">
                <w:txbxContent>
                  <w:p w14:paraId="247022F7" w14:textId="3D0478B7" w:rsidR="006B6478" w:rsidRPr="00977D51" w:rsidRDefault="006D2F9D" w:rsidP="006D2F9D">
                    <w:pPr>
                      <w:spacing w:after="0" w:line="240" w:lineRule="auto"/>
                      <w:jc w:val="center"/>
                      <w:rPr>
                        <w:b/>
                        <w:bCs/>
                        <w:smallCaps/>
                        <w:color w:val="FFFFFF" w:themeColor="background1"/>
                        <w:sz w:val="20"/>
                        <w:szCs w:val="20"/>
                      </w:rPr>
                    </w:pPr>
                    <w:r>
                      <w:rPr>
                        <w:b/>
                        <w:bCs/>
                        <w:smallCaps/>
                        <w:color w:val="FFFFFF" w:themeColor="background1"/>
                        <w:sz w:val="20"/>
                        <w:szCs w:val="20"/>
                      </w:rPr>
                      <w:t>DOCUMENTO</w:t>
                    </w:r>
                  </w:p>
                </w:txbxContent>
              </v:textbox>
            </v:shape>
          </w:pict>
        </mc:Fallback>
      </mc:AlternateContent>
    </w:r>
    <w:r w:rsidR="009424E3">
      <w:rPr>
        <w:noProof/>
        <w:lang w:eastAsia="it-IT"/>
      </w:rPr>
      <mc:AlternateContent>
        <mc:Choice Requires="wps">
          <w:drawing>
            <wp:anchor distT="0" distB="0" distL="114300" distR="114300" simplePos="0" relativeHeight="251658240" behindDoc="0" locked="0" layoutInCell="1" allowOverlap="1" wp14:anchorId="65ED8B06" wp14:editId="4CAE4412">
              <wp:simplePos x="0" y="0"/>
              <wp:positionH relativeFrom="column">
                <wp:posOffset>115</wp:posOffset>
              </wp:positionH>
              <wp:positionV relativeFrom="paragraph">
                <wp:posOffset>381058</wp:posOffset>
              </wp:positionV>
              <wp:extent cx="359410" cy="197485"/>
              <wp:effectExtent l="0" t="0" r="254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40000"/>
                        </a:srgbClr>
                      </a:solidFill>
                      <a:ln w="9525">
                        <a:noFill/>
                        <a:miter lim="800000"/>
                        <a:headEnd/>
                        <a:tailEnd/>
                      </a:ln>
                    </wps:spPr>
                    <wps:txbx>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65ED8B06" id="Casella di testo 30" o:spid="_x0000_s1028" type="#_x0000_t202" style="position:absolute;margin-left:0;margin-top:30pt;width:28.3pt;height:1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GQ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" fillcolor="#900" stroked="f">
              <v:fill opacity="26214f"/>
              <v:textbox inset=",0,,0">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59264" behindDoc="0" locked="0" layoutInCell="1" allowOverlap="1" wp14:anchorId="1E67137C" wp14:editId="54763750">
              <wp:simplePos x="0" y="0"/>
              <wp:positionH relativeFrom="column">
                <wp:posOffset>382887</wp:posOffset>
              </wp:positionH>
              <wp:positionV relativeFrom="paragraph">
                <wp:posOffset>381058</wp:posOffset>
              </wp:positionV>
              <wp:extent cx="359410" cy="197485"/>
              <wp:effectExtent l="0" t="0" r="254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60000"/>
                        </a:srgbClr>
                      </a:solidFill>
                      <a:ln w="9525">
                        <a:noFill/>
                        <a:miter lim="800000"/>
                        <a:headEnd/>
                        <a:tailEnd/>
                      </a:ln>
                    </wps:spPr>
                    <wps:txbx>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1E67137C" id="Casella di testo 17" o:spid="_x0000_s1029" type="#_x0000_t202" style="position:absolute;margin-left:30.15pt;margin-top:30pt;width:28.3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" fillcolor="#900" stroked="f">
              <v:fill opacity="39321f"/>
              <v:textbox inset=",0,,0">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60288" behindDoc="0" locked="0" layoutInCell="1" allowOverlap="1" wp14:anchorId="29CCAA40" wp14:editId="3BCB27B7">
              <wp:simplePos x="0" y="0"/>
              <wp:positionH relativeFrom="column">
                <wp:posOffset>765659</wp:posOffset>
              </wp:positionH>
              <wp:positionV relativeFrom="paragraph">
                <wp:posOffset>381058</wp:posOffset>
              </wp:positionV>
              <wp:extent cx="359410" cy="197485"/>
              <wp:effectExtent l="0" t="0" r="254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80000"/>
                        </a:srgbClr>
                      </a:solidFill>
                      <a:ln w="9525">
                        <a:noFill/>
                        <a:miter lim="800000"/>
                        <a:headEnd/>
                        <a:tailEnd/>
                      </a:ln>
                    </wps:spPr>
                    <wps:txbx>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29CCAA40" id="Casella di testo 19" o:spid="_x0000_s1030" type="#_x0000_t202" style="position:absolute;margin-left:60.3pt;margin-top:30pt;width:28.3pt;height:1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bZGg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" fillcolor="#900" stroked="f">
              <v:fill opacity="52428f"/>
              <v:textbox inset=",0,,0">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sdt>
      <w:sdtPr>
        <w:rPr>
          <w:sz w:val="8"/>
        </w:rPr>
        <w:id w:val="2048557311"/>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EC8D532"/>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15:restartNumberingAfterBreak="0">
    <w:nsid w:val="00000005"/>
    <w:multiLevelType w:val="multilevel"/>
    <w:tmpl w:val="00000005"/>
    <w:name w:val="WW8Num5"/>
    <w:lvl w:ilvl="0">
      <w:start w:val="1"/>
      <w:numFmt w:val="bullet"/>
      <w:lvlText w:val=""/>
      <w:lvlJc w:val="left"/>
      <w:pPr>
        <w:tabs>
          <w:tab w:val="num" w:pos="793"/>
        </w:tabs>
        <w:ind w:left="793" w:hanging="360"/>
      </w:pPr>
      <w:rPr>
        <w:rFonts w:ascii="Symbol" w:hAnsi="Symbol" w:cs="OpenSymbol"/>
      </w:rPr>
    </w:lvl>
    <w:lvl w:ilvl="1">
      <w:start w:val="1"/>
      <w:numFmt w:val="bullet"/>
      <w:lvlText w:val="◦"/>
      <w:lvlJc w:val="left"/>
      <w:pPr>
        <w:tabs>
          <w:tab w:val="num" w:pos="1153"/>
        </w:tabs>
        <w:ind w:left="1153" w:hanging="360"/>
      </w:pPr>
      <w:rPr>
        <w:rFonts w:ascii="OpenSymbol" w:hAnsi="OpenSymbol" w:cs="OpenSymbol"/>
      </w:rPr>
    </w:lvl>
    <w:lvl w:ilvl="2">
      <w:start w:val="1"/>
      <w:numFmt w:val="bullet"/>
      <w:lvlText w:val="▪"/>
      <w:lvlJc w:val="left"/>
      <w:pPr>
        <w:tabs>
          <w:tab w:val="num" w:pos="1513"/>
        </w:tabs>
        <w:ind w:left="1513" w:hanging="360"/>
      </w:pPr>
      <w:rPr>
        <w:rFonts w:ascii="OpenSymbol" w:hAnsi="OpenSymbol" w:cs="OpenSymbol"/>
      </w:rPr>
    </w:lvl>
    <w:lvl w:ilvl="3">
      <w:start w:val="1"/>
      <w:numFmt w:val="bullet"/>
      <w:lvlText w:val=""/>
      <w:lvlJc w:val="left"/>
      <w:pPr>
        <w:tabs>
          <w:tab w:val="num" w:pos="1873"/>
        </w:tabs>
        <w:ind w:left="1873" w:hanging="360"/>
      </w:pPr>
      <w:rPr>
        <w:rFonts w:ascii="Symbol" w:hAnsi="Symbol" w:cs="OpenSymbol"/>
      </w:rPr>
    </w:lvl>
    <w:lvl w:ilvl="4">
      <w:start w:val="1"/>
      <w:numFmt w:val="bullet"/>
      <w:lvlText w:val="◦"/>
      <w:lvlJc w:val="left"/>
      <w:pPr>
        <w:tabs>
          <w:tab w:val="num" w:pos="2233"/>
        </w:tabs>
        <w:ind w:left="2233" w:hanging="360"/>
      </w:pPr>
      <w:rPr>
        <w:rFonts w:ascii="OpenSymbol" w:hAnsi="OpenSymbol" w:cs="OpenSymbol"/>
      </w:rPr>
    </w:lvl>
    <w:lvl w:ilvl="5">
      <w:start w:val="1"/>
      <w:numFmt w:val="bullet"/>
      <w:lvlText w:val="▪"/>
      <w:lvlJc w:val="left"/>
      <w:pPr>
        <w:tabs>
          <w:tab w:val="num" w:pos="2593"/>
        </w:tabs>
        <w:ind w:left="2593" w:hanging="360"/>
      </w:pPr>
      <w:rPr>
        <w:rFonts w:ascii="OpenSymbol" w:hAnsi="OpenSymbol" w:cs="OpenSymbol"/>
      </w:rPr>
    </w:lvl>
    <w:lvl w:ilvl="6">
      <w:start w:val="1"/>
      <w:numFmt w:val="bullet"/>
      <w:lvlText w:val=""/>
      <w:lvlJc w:val="left"/>
      <w:pPr>
        <w:tabs>
          <w:tab w:val="num" w:pos="2953"/>
        </w:tabs>
        <w:ind w:left="2953" w:hanging="360"/>
      </w:pPr>
      <w:rPr>
        <w:rFonts w:ascii="Symbol" w:hAnsi="Symbol" w:cs="OpenSymbol"/>
      </w:rPr>
    </w:lvl>
    <w:lvl w:ilvl="7">
      <w:start w:val="1"/>
      <w:numFmt w:val="bullet"/>
      <w:lvlText w:val="◦"/>
      <w:lvlJc w:val="left"/>
      <w:pPr>
        <w:tabs>
          <w:tab w:val="num" w:pos="3313"/>
        </w:tabs>
        <w:ind w:left="3313" w:hanging="360"/>
      </w:pPr>
      <w:rPr>
        <w:rFonts w:ascii="OpenSymbol" w:hAnsi="OpenSymbol" w:cs="OpenSymbol"/>
      </w:rPr>
    </w:lvl>
    <w:lvl w:ilvl="8">
      <w:start w:val="1"/>
      <w:numFmt w:val="bullet"/>
      <w:lvlText w:val="▪"/>
      <w:lvlJc w:val="left"/>
      <w:pPr>
        <w:tabs>
          <w:tab w:val="num" w:pos="3673"/>
        </w:tabs>
        <w:ind w:left="3673" w:hanging="360"/>
      </w:pPr>
      <w:rPr>
        <w:rFonts w:ascii="OpenSymbol" w:hAnsi="OpenSymbol" w:cs="OpenSymbol"/>
      </w:rPr>
    </w:lvl>
  </w:abstractNum>
  <w:abstractNum w:abstractNumId="2" w15:restartNumberingAfterBreak="0">
    <w:nsid w:val="0260559E"/>
    <w:multiLevelType w:val="hybridMultilevel"/>
    <w:tmpl w:val="A19C77A2"/>
    <w:lvl w:ilvl="0" w:tplc="3476E574">
      <w:numFmt w:val="bullet"/>
      <w:lvlText w:val=""/>
      <w:lvlJc w:val="left"/>
      <w:pPr>
        <w:ind w:left="720" w:hanging="360"/>
      </w:pPr>
      <w:rPr>
        <w:rFonts w:ascii="Symbol" w:eastAsia="Calibr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713A2"/>
    <w:multiLevelType w:val="hybridMultilevel"/>
    <w:tmpl w:val="CA7ED2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92E77"/>
    <w:multiLevelType w:val="hybridMultilevel"/>
    <w:tmpl w:val="6FB4E60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6819AC"/>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F16C4"/>
    <w:multiLevelType w:val="hybridMultilevel"/>
    <w:tmpl w:val="EB5846C8"/>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DF5C05"/>
    <w:multiLevelType w:val="hybridMultilevel"/>
    <w:tmpl w:val="C658A73C"/>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970ACA"/>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784452"/>
    <w:multiLevelType w:val="hybridMultilevel"/>
    <w:tmpl w:val="92A8DF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431B46"/>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740D5C"/>
    <w:multiLevelType w:val="hybridMultilevel"/>
    <w:tmpl w:val="A0DA5C12"/>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DD3809"/>
    <w:multiLevelType w:val="hybridMultilevel"/>
    <w:tmpl w:val="CA2C80AA"/>
    <w:lvl w:ilvl="0" w:tplc="483C8700">
      <w:start w:val="1"/>
      <w:numFmt w:val="lowerLetter"/>
      <w:lvlText w:val="%1)"/>
      <w:lvlJc w:val="left"/>
      <w:pPr>
        <w:ind w:left="720" w:hanging="360"/>
      </w:pPr>
      <w:rPr>
        <w:rFont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C3D53E5"/>
    <w:multiLevelType w:val="multilevel"/>
    <w:tmpl w:val="974239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4" w15:restartNumberingAfterBreak="0">
    <w:nsid w:val="2CB2614E"/>
    <w:multiLevelType w:val="multilevel"/>
    <w:tmpl w:val="39F60982"/>
    <w:lvl w:ilvl="0">
      <w:start w:val="1"/>
      <w:numFmt w:val="bullet"/>
      <w:lvlText w:val=""/>
      <w:lvlJc w:val="left"/>
      <w:pPr>
        <w:ind w:left="436" w:hanging="360"/>
      </w:pPr>
      <w:rPr>
        <w:rFonts w:ascii="Symbol" w:hAnsi="Symbol" w:hint="default"/>
        <w:sz w:val="16"/>
      </w:rPr>
    </w:lvl>
    <w:lvl w:ilvl="1">
      <w:start w:val="1"/>
      <w:numFmt w:val="none"/>
      <w:lvlText w:val="o"/>
      <w:legacy w:legacy="1" w:legacySpace="120" w:legacyIndent="360"/>
      <w:lvlJc w:val="left"/>
      <w:pPr>
        <w:ind w:left="796" w:hanging="360"/>
      </w:pPr>
      <w:rPr>
        <w:rFonts w:ascii="Courier New" w:hAnsi="Courier New" w:cs="Times New Roman" w:hint="default"/>
      </w:rPr>
    </w:lvl>
    <w:lvl w:ilvl="2">
      <w:start w:val="1"/>
      <w:numFmt w:val="none"/>
      <w:lvlText w:val=""/>
      <w:legacy w:legacy="1" w:legacySpace="120" w:legacyIndent="360"/>
      <w:lvlJc w:val="left"/>
      <w:pPr>
        <w:ind w:left="1156" w:hanging="360"/>
      </w:pPr>
      <w:rPr>
        <w:rFonts w:ascii="Wingdings" w:hAnsi="Wingdings" w:cs="Times New Roman" w:hint="default"/>
      </w:rPr>
    </w:lvl>
    <w:lvl w:ilvl="3">
      <w:start w:val="1"/>
      <w:numFmt w:val="none"/>
      <w:lvlText w:val=""/>
      <w:legacy w:legacy="1" w:legacySpace="120" w:legacyIndent="360"/>
      <w:lvlJc w:val="left"/>
      <w:pPr>
        <w:ind w:left="1516" w:hanging="360"/>
      </w:pPr>
      <w:rPr>
        <w:rFonts w:ascii="Symbol" w:hAnsi="Symbol" w:cs="Times New Roman" w:hint="default"/>
      </w:rPr>
    </w:lvl>
    <w:lvl w:ilvl="4">
      <w:start w:val="1"/>
      <w:numFmt w:val="none"/>
      <w:lvlText w:val="o"/>
      <w:legacy w:legacy="1" w:legacySpace="120" w:legacyIndent="360"/>
      <w:lvlJc w:val="left"/>
      <w:pPr>
        <w:ind w:left="1876" w:hanging="360"/>
      </w:pPr>
      <w:rPr>
        <w:rFonts w:ascii="Courier New" w:hAnsi="Courier New" w:cs="Times New Roman" w:hint="default"/>
      </w:rPr>
    </w:lvl>
    <w:lvl w:ilvl="5">
      <w:start w:val="1"/>
      <w:numFmt w:val="none"/>
      <w:lvlText w:val=""/>
      <w:legacy w:legacy="1" w:legacySpace="120" w:legacyIndent="360"/>
      <w:lvlJc w:val="left"/>
      <w:pPr>
        <w:ind w:left="2236" w:hanging="360"/>
      </w:pPr>
      <w:rPr>
        <w:rFonts w:ascii="Wingdings" w:hAnsi="Wingdings" w:cs="Times New Roman" w:hint="default"/>
      </w:rPr>
    </w:lvl>
    <w:lvl w:ilvl="6">
      <w:start w:val="1"/>
      <w:numFmt w:val="none"/>
      <w:lvlText w:val=""/>
      <w:legacy w:legacy="1" w:legacySpace="120" w:legacyIndent="360"/>
      <w:lvlJc w:val="left"/>
      <w:pPr>
        <w:ind w:left="2596" w:hanging="360"/>
      </w:pPr>
      <w:rPr>
        <w:rFonts w:ascii="Symbol" w:hAnsi="Symbol" w:cs="Times New Roman" w:hint="default"/>
      </w:rPr>
    </w:lvl>
    <w:lvl w:ilvl="7">
      <w:start w:val="1"/>
      <w:numFmt w:val="none"/>
      <w:lvlText w:val="o"/>
      <w:legacy w:legacy="1" w:legacySpace="120" w:legacyIndent="360"/>
      <w:lvlJc w:val="left"/>
      <w:pPr>
        <w:ind w:left="2956" w:hanging="360"/>
      </w:pPr>
      <w:rPr>
        <w:rFonts w:ascii="Courier New" w:hAnsi="Courier New" w:cs="Times New Roman" w:hint="default"/>
      </w:rPr>
    </w:lvl>
    <w:lvl w:ilvl="8">
      <w:start w:val="1"/>
      <w:numFmt w:val="none"/>
      <w:lvlText w:val=""/>
      <w:legacy w:legacy="1" w:legacySpace="120" w:legacyIndent="360"/>
      <w:lvlJc w:val="left"/>
      <w:pPr>
        <w:ind w:left="3316" w:hanging="360"/>
      </w:pPr>
      <w:rPr>
        <w:rFonts w:ascii="Wingdings" w:hAnsi="Wingdings" w:cs="Times New Roman" w:hint="default"/>
      </w:rPr>
    </w:lvl>
  </w:abstractNum>
  <w:abstractNum w:abstractNumId="15" w15:restartNumberingAfterBreak="0">
    <w:nsid w:val="2DCC1769"/>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506574"/>
    <w:multiLevelType w:val="hybridMultilevel"/>
    <w:tmpl w:val="A262302C"/>
    <w:lvl w:ilvl="0" w:tplc="3476E57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AA58F4"/>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98737D"/>
    <w:multiLevelType w:val="hybridMultilevel"/>
    <w:tmpl w:val="C436E6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1C503F"/>
    <w:multiLevelType w:val="multilevel"/>
    <w:tmpl w:val="2F12521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pStyle w:val="Sti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A834A2"/>
    <w:multiLevelType w:val="hybridMultilevel"/>
    <w:tmpl w:val="DD68768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611F64"/>
    <w:multiLevelType w:val="multilevel"/>
    <w:tmpl w:val="D898E154"/>
    <w:lvl w:ilvl="0">
      <w:numFmt w:val="bullet"/>
      <w:lvlText w:val="-"/>
      <w:lvlJc w:val="left"/>
      <w:pPr>
        <w:ind w:left="436" w:hanging="360"/>
      </w:pPr>
      <w:rPr>
        <w:rFonts w:ascii="Arial" w:eastAsia="Times New Roman" w:hAnsi="Arial" w:cs="Arial" w:hint="default"/>
        <w:sz w:val="16"/>
      </w:rPr>
    </w:lvl>
    <w:lvl w:ilvl="1">
      <w:start w:val="1"/>
      <w:numFmt w:val="none"/>
      <w:lvlText w:val="o"/>
      <w:legacy w:legacy="1" w:legacySpace="120" w:legacyIndent="360"/>
      <w:lvlJc w:val="left"/>
      <w:pPr>
        <w:ind w:left="796" w:hanging="360"/>
      </w:pPr>
      <w:rPr>
        <w:rFonts w:ascii="Courier New" w:hAnsi="Courier New" w:cs="Times New Roman" w:hint="default"/>
      </w:rPr>
    </w:lvl>
    <w:lvl w:ilvl="2">
      <w:start w:val="1"/>
      <w:numFmt w:val="none"/>
      <w:lvlText w:val=""/>
      <w:legacy w:legacy="1" w:legacySpace="120" w:legacyIndent="360"/>
      <w:lvlJc w:val="left"/>
      <w:pPr>
        <w:ind w:left="1156" w:hanging="360"/>
      </w:pPr>
      <w:rPr>
        <w:rFonts w:ascii="Wingdings" w:hAnsi="Wingdings" w:cs="Times New Roman" w:hint="default"/>
      </w:rPr>
    </w:lvl>
    <w:lvl w:ilvl="3">
      <w:start w:val="1"/>
      <w:numFmt w:val="none"/>
      <w:lvlText w:val=""/>
      <w:legacy w:legacy="1" w:legacySpace="120" w:legacyIndent="360"/>
      <w:lvlJc w:val="left"/>
      <w:pPr>
        <w:ind w:left="1516" w:hanging="360"/>
      </w:pPr>
      <w:rPr>
        <w:rFonts w:ascii="Symbol" w:hAnsi="Symbol" w:cs="Times New Roman" w:hint="default"/>
      </w:rPr>
    </w:lvl>
    <w:lvl w:ilvl="4">
      <w:start w:val="1"/>
      <w:numFmt w:val="none"/>
      <w:lvlText w:val="o"/>
      <w:legacy w:legacy="1" w:legacySpace="120" w:legacyIndent="360"/>
      <w:lvlJc w:val="left"/>
      <w:pPr>
        <w:ind w:left="1876" w:hanging="360"/>
      </w:pPr>
      <w:rPr>
        <w:rFonts w:ascii="Courier New" w:hAnsi="Courier New" w:cs="Times New Roman" w:hint="default"/>
      </w:rPr>
    </w:lvl>
    <w:lvl w:ilvl="5">
      <w:start w:val="1"/>
      <w:numFmt w:val="none"/>
      <w:lvlText w:val=""/>
      <w:legacy w:legacy="1" w:legacySpace="120" w:legacyIndent="360"/>
      <w:lvlJc w:val="left"/>
      <w:pPr>
        <w:ind w:left="2236" w:hanging="360"/>
      </w:pPr>
      <w:rPr>
        <w:rFonts w:ascii="Wingdings" w:hAnsi="Wingdings" w:cs="Times New Roman" w:hint="default"/>
      </w:rPr>
    </w:lvl>
    <w:lvl w:ilvl="6">
      <w:start w:val="1"/>
      <w:numFmt w:val="none"/>
      <w:lvlText w:val=""/>
      <w:legacy w:legacy="1" w:legacySpace="120" w:legacyIndent="360"/>
      <w:lvlJc w:val="left"/>
      <w:pPr>
        <w:ind w:left="2596" w:hanging="360"/>
      </w:pPr>
      <w:rPr>
        <w:rFonts w:ascii="Symbol" w:hAnsi="Symbol" w:cs="Times New Roman" w:hint="default"/>
      </w:rPr>
    </w:lvl>
    <w:lvl w:ilvl="7">
      <w:start w:val="1"/>
      <w:numFmt w:val="none"/>
      <w:lvlText w:val="o"/>
      <w:legacy w:legacy="1" w:legacySpace="120" w:legacyIndent="360"/>
      <w:lvlJc w:val="left"/>
      <w:pPr>
        <w:ind w:left="2956" w:hanging="360"/>
      </w:pPr>
      <w:rPr>
        <w:rFonts w:ascii="Courier New" w:hAnsi="Courier New" w:cs="Times New Roman" w:hint="default"/>
      </w:rPr>
    </w:lvl>
    <w:lvl w:ilvl="8">
      <w:start w:val="1"/>
      <w:numFmt w:val="none"/>
      <w:lvlText w:val=""/>
      <w:legacy w:legacy="1" w:legacySpace="120" w:legacyIndent="360"/>
      <w:lvlJc w:val="left"/>
      <w:pPr>
        <w:ind w:left="3316" w:hanging="360"/>
      </w:pPr>
      <w:rPr>
        <w:rFonts w:ascii="Wingdings" w:hAnsi="Wingdings" w:cs="Times New Roman" w:hint="default"/>
      </w:rPr>
    </w:lvl>
  </w:abstractNum>
  <w:abstractNum w:abstractNumId="22" w15:restartNumberingAfterBreak="0">
    <w:nsid w:val="44EB2014"/>
    <w:multiLevelType w:val="hybridMultilevel"/>
    <w:tmpl w:val="A69A039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261772"/>
    <w:multiLevelType w:val="hybridMultilevel"/>
    <w:tmpl w:val="E51603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010881"/>
    <w:multiLevelType w:val="hybridMultilevel"/>
    <w:tmpl w:val="F3E41290"/>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82173F"/>
    <w:multiLevelType w:val="hybridMultilevel"/>
    <w:tmpl w:val="2076DA6A"/>
    <w:lvl w:ilvl="0" w:tplc="2FBEE548">
      <w:start w:val="339"/>
      <w:numFmt w:val="bullet"/>
      <w:lvlText w:val="-"/>
      <w:lvlJc w:val="left"/>
      <w:pPr>
        <w:ind w:left="720" w:hanging="360"/>
      </w:pPr>
      <w:rPr>
        <w:rFonts w:ascii="Calibri" w:eastAsiaTheme="minorHAns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3D2057"/>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745E84"/>
    <w:multiLevelType w:val="hybridMultilevel"/>
    <w:tmpl w:val="75E08A2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C86E45"/>
    <w:multiLevelType w:val="hybridMultilevel"/>
    <w:tmpl w:val="5DCE0CA4"/>
    <w:lvl w:ilvl="0" w:tplc="3476E57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B66C87"/>
    <w:multiLevelType w:val="hybridMultilevel"/>
    <w:tmpl w:val="A7F4C05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D53C16"/>
    <w:multiLevelType w:val="hybridMultilevel"/>
    <w:tmpl w:val="AB6CEEB2"/>
    <w:lvl w:ilvl="0" w:tplc="758ACCE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788438CF"/>
    <w:multiLevelType w:val="hybridMultilevel"/>
    <w:tmpl w:val="597A2DDE"/>
    <w:lvl w:ilvl="0" w:tplc="0410000B">
      <w:start w:val="1"/>
      <w:numFmt w:val="bullet"/>
      <w:lvlText w:val=""/>
      <w:lvlJc w:val="left"/>
      <w:pPr>
        <w:ind w:left="810" w:hanging="360"/>
      </w:pPr>
      <w:rPr>
        <w:rFonts w:ascii="Wingdings" w:hAnsi="Wingdings"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2" w15:restartNumberingAfterBreak="0">
    <w:nsid w:val="79172928"/>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CD039C"/>
    <w:multiLevelType w:val="hybridMultilevel"/>
    <w:tmpl w:val="30C6A4C2"/>
    <w:lvl w:ilvl="0" w:tplc="3476E57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A6061E"/>
    <w:multiLevelType w:val="hybridMultilevel"/>
    <w:tmpl w:val="AB50902E"/>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C466237"/>
    <w:multiLevelType w:val="hybridMultilevel"/>
    <w:tmpl w:val="3EEA05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111407"/>
    <w:multiLevelType w:val="hybridMultilevel"/>
    <w:tmpl w:val="F438D01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762606">
    <w:abstractNumId w:val="19"/>
  </w:num>
  <w:num w:numId="2" w16cid:durableId="202138437">
    <w:abstractNumId w:val="26"/>
  </w:num>
  <w:num w:numId="3" w16cid:durableId="1824932267">
    <w:abstractNumId w:val="20"/>
  </w:num>
  <w:num w:numId="4" w16cid:durableId="1009605382">
    <w:abstractNumId w:val="24"/>
  </w:num>
  <w:num w:numId="5" w16cid:durableId="1777673717">
    <w:abstractNumId w:val="22"/>
  </w:num>
  <w:num w:numId="6" w16cid:durableId="526337778">
    <w:abstractNumId w:val="27"/>
  </w:num>
  <w:num w:numId="7" w16cid:durableId="192033598">
    <w:abstractNumId w:val="11"/>
  </w:num>
  <w:num w:numId="8" w16cid:durableId="927424854">
    <w:abstractNumId w:val="29"/>
  </w:num>
  <w:num w:numId="9" w16cid:durableId="394426662">
    <w:abstractNumId w:val="30"/>
  </w:num>
  <w:num w:numId="10" w16cid:durableId="1201433928">
    <w:abstractNumId w:val="34"/>
  </w:num>
  <w:num w:numId="11" w16cid:durableId="1631277208">
    <w:abstractNumId w:val="36"/>
  </w:num>
  <w:num w:numId="12" w16cid:durableId="1431468304">
    <w:abstractNumId w:val="4"/>
  </w:num>
  <w:num w:numId="13" w16cid:durableId="1000424699">
    <w:abstractNumId w:val="17"/>
  </w:num>
  <w:num w:numId="14" w16cid:durableId="201476066">
    <w:abstractNumId w:val="5"/>
  </w:num>
  <w:num w:numId="15" w16cid:durableId="286199793">
    <w:abstractNumId w:val="6"/>
  </w:num>
  <w:num w:numId="16" w16cid:durableId="1613049201">
    <w:abstractNumId w:val="7"/>
  </w:num>
  <w:num w:numId="17" w16cid:durableId="1156338780">
    <w:abstractNumId w:val="8"/>
  </w:num>
  <w:num w:numId="18" w16cid:durableId="1796870059">
    <w:abstractNumId w:val="0"/>
  </w:num>
  <w:num w:numId="19" w16cid:durableId="473528774">
    <w:abstractNumId w:val="1"/>
  </w:num>
  <w:num w:numId="20" w16cid:durableId="1753090615">
    <w:abstractNumId w:val="13"/>
  </w:num>
  <w:num w:numId="21" w16cid:durableId="1645161053">
    <w:abstractNumId w:val="32"/>
  </w:num>
  <w:num w:numId="22" w16cid:durableId="1142425747">
    <w:abstractNumId w:val="15"/>
  </w:num>
  <w:num w:numId="23" w16cid:durableId="1810170990">
    <w:abstractNumId w:val="10"/>
  </w:num>
  <w:num w:numId="24" w16cid:durableId="1625230986">
    <w:abstractNumId w:val="25"/>
  </w:num>
  <w:num w:numId="25" w16cid:durableId="771366287">
    <w:abstractNumId w:val="14"/>
  </w:num>
  <w:num w:numId="26" w16cid:durableId="946697103">
    <w:abstractNumId w:val="28"/>
  </w:num>
  <w:num w:numId="27" w16cid:durableId="122235985">
    <w:abstractNumId w:val="21"/>
  </w:num>
  <w:num w:numId="28" w16cid:durableId="1462646226">
    <w:abstractNumId w:val="2"/>
  </w:num>
  <w:num w:numId="29" w16cid:durableId="172846094">
    <w:abstractNumId w:val="33"/>
  </w:num>
  <w:num w:numId="30" w16cid:durableId="649217180">
    <w:abstractNumId w:val="16"/>
  </w:num>
  <w:num w:numId="31" w16cid:durableId="321158206">
    <w:abstractNumId w:val="31"/>
  </w:num>
  <w:num w:numId="32" w16cid:durableId="588084478">
    <w:abstractNumId w:val="12"/>
  </w:num>
  <w:num w:numId="33" w16cid:durableId="1965966046">
    <w:abstractNumId w:val="9"/>
  </w:num>
  <w:num w:numId="34" w16cid:durableId="93404809">
    <w:abstractNumId w:val="3"/>
  </w:num>
  <w:num w:numId="35" w16cid:durableId="1401901441">
    <w:abstractNumId w:val="35"/>
  </w:num>
  <w:num w:numId="36" w16cid:durableId="209804931">
    <w:abstractNumId w:val="23"/>
  </w:num>
  <w:num w:numId="37" w16cid:durableId="13502538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1C"/>
    <w:rsid w:val="00003424"/>
    <w:rsid w:val="00003C88"/>
    <w:rsid w:val="00003EA8"/>
    <w:rsid w:val="000069D2"/>
    <w:rsid w:val="00014CD6"/>
    <w:rsid w:val="00026DC5"/>
    <w:rsid w:val="00026F67"/>
    <w:rsid w:val="00027F0B"/>
    <w:rsid w:val="00036750"/>
    <w:rsid w:val="000372E2"/>
    <w:rsid w:val="00037858"/>
    <w:rsid w:val="00037B66"/>
    <w:rsid w:val="00046B22"/>
    <w:rsid w:val="00046DA7"/>
    <w:rsid w:val="000473F3"/>
    <w:rsid w:val="000474C4"/>
    <w:rsid w:val="000567A9"/>
    <w:rsid w:val="00056E76"/>
    <w:rsid w:val="00061524"/>
    <w:rsid w:val="00062F68"/>
    <w:rsid w:val="00070012"/>
    <w:rsid w:val="000703E3"/>
    <w:rsid w:val="0007557F"/>
    <w:rsid w:val="000827B1"/>
    <w:rsid w:val="00083269"/>
    <w:rsid w:val="00085212"/>
    <w:rsid w:val="00087A31"/>
    <w:rsid w:val="00097AE0"/>
    <w:rsid w:val="000A21BB"/>
    <w:rsid w:val="000A4FC1"/>
    <w:rsid w:val="000B0EF2"/>
    <w:rsid w:val="000B3FA0"/>
    <w:rsid w:val="000B407B"/>
    <w:rsid w:val="000B47F9"/>
    <w:rsid w:val="000B4C2C"/>
    <w:rsid w:val="000C0516"/>
    <w:rsid w:val="000C3312"/>
    <w:rsid w:val="000C5DB5"/>
    <w:rsid w:val="000C5E48"/>
    <w:rsid w:val="000C669F"/>
    <w:rsid w:val="000D36F7"/>
    <w:rsid w:val="000D3DF1"/>
    <w:rsid w:val="000D5746"/>
    <w:rsid w:val="000D7660"/>
    <w:rsid w:val="000E0FAB"/>
    <w:rsid w:val="000E19FF"/>
    <w:rsid w:val="000E1A1C"/>
    <w:rsid w:val="000E26D7"/>
    <w:rsid w:val="000F01BC"/>
    <w:rsid w:val="000F1BE7"/>
    <w:rsid w:val="000F3E18"/>
    <w:rsid w:val="00101DC4"/>
    <w:rsid w:val="00102328"/>
    <w:rsid w:val="00103F13"/>
    <w:rsid w:val="00107FF7"/>
    <w:rsid w:val="00111DD3"/>
    <w:rsid w:val="001132F3"/>
    <w:rsid w:val="0011351A"/>
    <w:rsid w:val="00113EBC"/>
    <w:rsid w:val="00115931"/>
    <w:rsid w:val="001160D7"/>
    <w:rsid w:val="0012132F"/>
    <w:rsid w:val="00122942"/>
    <w:rsid w:val="00124E2B"/>
    <w:rsid w:val="001260A8"/>
    <w:rsid w:val="00127264"/>
    <w:rsid w:val="00131263"/>
    <w:rsid w:val="001354F9"/>
    <w:rsid w:val="00135FA1"/>
    <w:rsid w:val="001360C7"/>
    <w:rsid w:val="001369CA"/>
    <w:rsid w:val="00142F4D"/>
    <w:rsid w:val="00145017"/>
    <w:rsid w:val="0015088C"/>
    <w:rsid w:val="00156A48"/>
    <w:rsid w:val="00160C6B"/>
    <w:rsid w:val="00161B57"/>
    <w:rsid w:val="001620B7"/>
    <w:rsid w:val="001644FE"/>
    <w:rsid w:val="001653C0"/>
    <w:rsid w:val="00165652"/>
    <w:rsid w:val="001738E5"/>
    <w:rsid w:val="001768A3"/>
    <w:rsid w:val="001821B3"/>
    <w:rsid w:val="00184172"/>
    <w:rsid w:val="00184E61"/>
    <w:rsid w:val="00186693"/>
    <w:rsid w:val="00187083"/>
    <w:rsid w:val="00191A9C"/>
    <w:rsid w:val="00194481"/>
    <w:rsid w:val="001A20BF"/>
    <w:rsid w:val="001A3685"/>
    <w:rsid w:val="001A6DB1"/>
    <w:rsid w:val="001A7429"/>
    <w:rsid w:val="001B0357"/>
    <w:rsid w:val="001B2165"/>
    <w:rsid w:val="001B617C"/>
    <w:rsid w:val="001B7AED"/>
    <w:rsid w:val="001C1B58"/>
    <w:rsid w:val="001D1379"/>
    <w:rsid w:val="001D332E"/>
    <w:rsid w:val="001D367D"/>
    <w:rsid w:val="001D41B0"/>
    <w:rsid w:val="001D55AF"/>
    <w:rsid w:val="001D7756"/>
    <w:rsid w:val="001D7A66"/>
    <w:rsid w:val="001E01E9"/>
    <w:rsid w:val="001E2B81"/>
    <w:rsid w:val="001E518C"/>
    <w:rsid w:val="001E618F"/>
    <w:rsid w:val="001E666B"/>
    <w:rsid w:val="001F19BA"/>
    <w:rsid w:val="001F207D"/>
    <w:rsid w:val="001F27A8"/>
    <w:rsid w:val="001F5135"/>
    <w:rsid w:val="0020571A"/>
    <w:rsid w:val="00213C6F"/>
    <w:rsid w:val="00221DC4"/>
    <w:rsid w:val="002247AF"/>
    <w:rsid w:val="002261CE"/>
    <w:rsid w:val="00226912"/>
    <w:rsid w:val="0023087B"/>
    <w:rsid w:val="0023238C"/>
    <w:rsid w:val="00235CC2"/>
    <w:rsid w:val="0024070E"/>
    <w:rsid w:val="002459D3"/>
    <w:rsid w:val="002467C7"/>
    <w:rsid w:val="00246D31"/>
    <w:rsid w:val="002505A1"/>
    <w:rsid w:val="00253A71"/>
    <w:rsid w:val="00257991"/>
    <w:rsid w:val="0026010A"/>
    <w:rsid w:val="002607C0"/>
    <w:rsid w:val="00261077"/>
    <w:rsid w:val="00261958"/>
    <w:rsid w:val="002626FA"/>
    <w:rsid w:val="0026470E"/>
    <w:rsid w:val="00265F1B"/>
    <w:rsid w:val="00272AE4"/>
    <w:rsid w:val="002739D4"/>
    <w:rsid w:val="00275E19"/>
    <w:rsid w:val="00276A8C"/>
    <w:rsid w:val="00282FB6"/>
    <w:rsid w:val="0028517F"/>
    <w:rsid w:val="002871BD"/>
    <w:rsid w:val="00290A6B"/>
    <w:rsid w:val="00292F2E"/>
    <w:rsid w:val="00295993"/>
    <w:rsid w:val="002977BA"/>
    <w:rsid w:val="002A0131"/>
    <w:rsid w:val="002A2366"/>
    <w:rsid w:val="002A2506"/>
    <w:rsid w:val="002A4214"/>
    <w:rsid w:val="002A4A6E"/>
    <w:rsid w:val="002A632A"/>
    <w:rsid w:val="002A64F4"/>
    <w:rsid w:val="002B054E"/>
    <w:rsid w:val="002B316E"/>
    <w:rsid w:val="002B3676"/>
    <w:rsid w:val="002B453F"/>
    <w:rsid w:val="002B5385"/>
    <w:rsid w:val="002B6812"/>
    <w:rsid w:val="002C2D8C"/>
    <w:rsid w:val="002C3ABD"/>
    <w:rsid w:val="002C4D5E"/>
    <w:rsid w:val="002C6354"/>
    <w:rsid w:val="002C6716"/>
    <w:rsid w:val="002D0344"/>
    <w:rsid w:val="002D1358"/>
    <w:rsid w:val="002D22FE"/>
    <w:rsid w:val="002D32DA"/>
    <w:rsid w:val="002D371E"/>
    <w:rsid w:val="002D4D3A"/>
    <w:rsid w:val="002D763C"/>
    <w:rsid w:val="002E0195"/>
    <w:rsid w:val="002E3865"/>
    <w:rsid w:val="002E5499"/>
    <w:rsid w:val="002E5524"/>
    <w:rsid w:val="002E7D61"/>
    <w:rsid w:val="002E7E32"/>
    <w:rsid w:val="002F37E1"/>
    <w:rsid w:val="002F7825"/>
    <w:rsid w:val="00301AE3"/>
    <w:rsid w:val="00310F4D"/>
    <w:rsid w:val="00310F5E"/>
    <w:rsid w:val="0031147A"/>
    <w:rsid w:val="003141B3"/>
    <w:rsid w:val="00316072"/>
    <w:rsid w:val="003161F9"/>
    <w:rsid w:val="00317B31"/>
    <w:rsid w:val="0032478A"/>
    <w:rsid w:val="00324BF3"/>
    <w:rsid w:val="00332795"/>
    <w:rsid w:val="00333F0E"/>
    <w:rsid w:val="00337217"/>
    <w:rsid w:val="003377A1"/>
    <w:rsid w:val="00342771"/>
    <w:rsid w:val="00342B89"/>
    <w:rsid w:val="00342C8C"/>
    <w:rsid w:val="00345928"/>
    <w:rsid w:val="00345F49"/>
    <w:rsid w:val="00351B63"/>
    <w:rsid w:val="003524EC"/>
    <w:rsid w:val="00352529"/>
    <w:rsid w:val="0035353D"/>
    <w:rsid w:val="003547F3"/>
    <w:rsid w:val="0035694E"/>
    <w:rsid w:val="0036045B"/>
    <w:rsid w:val="003606F7"/>
    <w:rsid w:val="003629AC"/>
    <w:rsid w:val="003638B7"/>
    <w:rsid w:val="0036422D"/>
    <w:rsid w:val="003642B8"/>
    <w:rsid w:val="00373095"/>
    <w:rsid w:val="00376EDE"/>
    <w:rsid w:val="00377AF2"/>
    <w:rsid w:val="003807AD"/>
    <w:rsid w:val="003819C1"/>
    <w:rsid w:val="00384545"/>
    <w:rsid w:val="00391821"/>
    <w:rsid w:val="0039226B"/>
    <w:rsid w:val="00393B73"/>
    <w:rsid w:val="003A4AFA"/>
    <w:rsid w:val="003A5DAE"/>
    <w:rsid w:val="003B2AF9"/>
    <w:rsid w:val="003B333B"/>
    <w:rsid w:val="003B5E60"/>
    <w:rsid w:val="003B6CCA"/>
    <w:rsid w:val="003C05C3"/>
    <w:rsid w:val="003C1883"/>
    <w:rsid w:val="003C39F1"/>
    <w:rsid w:val="003C67AE"/>
    <w:rsid w:val="003C6C4D"/>
    <w:rsid w:val="003C6E72"/>
    <w:rsid w:val="003C7170"/>
    <w:rsid w:val="003D3738"/>
    <w:rsid w:val="003D39CE"/>
    <w:rsid w:val="003D77DE"/>
    <w:rsid w:val="003E0A70"/>
    <w:rsid w:val="003E1FED"/>
    <w:rsid w:val="003E3993"/>
    <w:rsid w:val="003E3FA9"/>
    <w:rsid w:val="003E576D"/>
    <w:rsid w:val="003F164C"/>
    <w:rsid w:val="003F21A6"/>
    <w:rsid w:val="003F6CF9"/>
    <w:rsid w:val="003F6FF3"/>
    <w:rsid w:val="00401804"/>
    <w:rsid w:val="00405794"/>
    <w:rsid w:val="0041025C"/>
    <w:rsid w:val="00420560"/>
    <w:rsid w:val="00422513"/>
    <w:rsid w:val="00425900"/>
    <w:rsid w:val="004270EF"/>
    <w:rsid w:val="004278B0"/>
    <w:rsid w:val="00427D40"/>
    <w:rsid w:val="004330AB"/>
    <w:rsid w:val="004339BC"/>
    <w:rsid w:val="0043519D"/>
    <w:rsid w:val="00437453"/>
    <w:rsid w:val="0044698E"/>
    <w:rsid w:val="0045138F"/>
    <w:rsid w:val="004528BA"/>
    <w:rsid w:val="00452FD1"/>
    <w:rsid w:val="00453B58"/>
    <w:rsid w:val="00454F64"/>
    <w:rsid w:val="00457D1D"/>
    <w:rsid w:val="00462227"/>
    <w:rsid w:val="00464F09"/>
    <w:rsid w:val="00466D76"/>
    <w:rsid w:val="00471D26"/>
    <w:rsid w:val="004761E4"/>
    <w:rsid w:val="00477565"/>
    <w:rsid w:val="0048249B"/>
    <w:rsid w:val="004827E2"/>
    <w:rsid w:val="00483F04"/>
    <w:rsid w:val="00484B4A"/>
    <w:rsid w:val="004850DA"/>
    <w:rsid w:val="00491839"/>
    <w:rsid w:val="0049609B"/>
    <w:rsid w:val="00496854"/>
    <w:rsid w:val="004968FF"/>
    <w:rsid w:val="004A1B84"/>
    <w:rsid w:val="004A227F"/>
    <w:rsid w:val="004A2C38"/>
    <w:rsid w:val="004A3045"/>
    <w:rsid w:val="004A7AD5"/>
    <w:rsid w:val="004B7805"/>
    <w:rsid w:val="004C2625"/>
    <w:rsid w:val="004C36F9"/>
    <w:rsid w:val="004C42EC"/>
    <w:rsid w:val="004D2581"/>
    <w:rsid w:val="004D56C3"/>
    <w:rsid w:val="004E0D51"/>
    <w:rsid w:val="004E27D9"/>
    <w:rsid w:val="004E317C"/>
    <w:rsid w:val="004F19CC"/>
    <w:rsid w:val="004F749C"/>
    <w:rsid w:val="004F7B7C"/>
    <w:rsid w:val="00503682"/>
    <w:rsid w:val="00503886"/>
    <w:rsid w:val="00504013"/>
    <w:rsid w:val="005052D9"/>
    <w:rsid w:val="00507027"/>
    <w:rsid w:val="00507817"/>
    <w:rsid w:val="00511EEE"/>
    <w:rsid w:val="00514348"/>
    <w:rsid w:val="0051436A"/>
    <w:rsid w:val="00514674"/>
    <w:rsid w:val="00515D64"/>
    <w:rsid w:val="0052717A"/>
    <w:rsid w:val="0052762F"/>
    <w:rsid w:val="00532987"/>
    <w:rsid w:val="00534868"/>
    <w:rsid w:val="005358E0"/>
    <w:rsid w:val="00536E2B"/>
    <w:rsid w:val="00540619"/>
    <w:rsid w:val="00542C1C"/>
    <w:rsid w:val="005443F1"/>
    <w:rsid w:val="0054490E"/>
    <w:rsid w:val="00544EF4"/>
    <w:rsid w:val="0054706F"/>
    <w:rsid w:val="00550048"/>
    <w:rsid w:val="00550D24"/>
    <w:rsid w:val="00551208"/>
    <w:rsid w:val="00552D30"/>
    <w:rsid w:val="00554F93"/>
    <w:rsid w:val="00565766"/>
    <w:rsid w:val="005678B6"/>
    <w:rsid w:val="00571BC1"/>
    <w:rsid w:val="00571E4F"/>
    <w:rsid w:val="00572C35"/>
    <w:rsid w:val="0057386C"/>
    <w:rsid w:val="005779CC"/>
    <w:rsid w:val="00577EFB"/>
    <w:rsid w:val="00582308"/>
    <w:rsid w:val="00584678"/>
    <w:rsid w:val="00584C99"/>
    <w:rsid w:val="00584D26"/>
    <w:rsid w:val="00585CC2"/>
    <w:rsid w:val="00586075"/>
    <w:rsid w:val="00590B56"/>
    <w:rsid w:val="005931C1"/>
    <w:rsid w:val="00593973"/>
    <w:rsid w:val="005946A5"/>
    <w:rsid w:val="00596087"/>
    <w:rsid w:val="00596411"/>
    <w:rsid w:val="00597183"/>
    <w:rsid w:val="005A010C"/>
    <w:rsid w:val="005A01B1"/>
    <w:rsid w:val="005A2BD8"/>
    <w:rsid w:val="005A718E"/>
    <w:rsid w:val="005B1CE4"/>
    <w:rsid w:val="005B2801"/>
    <w:rsid w:val="005B3C08"/>
    <w:rsid w:val="005B6954"/>
    <w:rsid w:val="005B6EDC"/>
    <w:rsid w:val="005B7A5B"/>
    <w:rsid w:val="005B7B8C"/>
    <w:rsid w:val="005C0B4C"/>
    <w:rsid w:val="005C0DF2"/>
    <w:rsid w:val="005C1438"/>
    <w:rsid w:val="005C159A"/>
    <w:rsid w:val="005C3555"/>
    <w:rsid w:val="005C4E70"/>
    <w:rsid w:val="005C5333"/>
    <w:rsid w:val="005C677A"/>
    <w:rsid w:val="005C6937"/>
    <w:rsid w:val="005D2018"/>
    <w:rsid w:val="005E0472"/>
    <w:rsid w:val="005F1D57"/>
    <w:rsid w:val="005F2073"/>
    <w:rsid w:val="005F2970"/>
    <w:rsid w:val="00604EC4"/>
    <w:rsid w:val="00610DFB"/>
    <w:rsid w:val="00611E5B"/>
    <w:rsid w:val="00614DD8"/>
    <w:rsid w:val="006210C0"/>
    <w:rsid w:val="00622316"/>
    <w:rsid w:val="0062582B"/>
    <w:rsid w:val="00626BF8"/>
    <w:rsid w:val="00627795"/>
    <w:rsid w:val="006308FD"/>
    <w:rsid w:val="00630AD9"/>
    <w:rsid w:val="006340EA"/>
    <w:rsid w:val="00637985"/>
    <w:rsid w:val="00640BAE"/>
    <w:rsid w:val="00642EE2"/>
    <w:rsid w:val="00644CAD"/>
    <w:rsid w:val="0064579A"/>
    <w:rsid w:val="00646B3F"/>
    <w:rsid w:val="00661418"/>
    <w:rsid w:val="00662BA7"/>
    <w:rsid w:val="00664639"/>
    <w:rsid w:val="00664D0B"/>
    <w:rsid w:val="006655AE"/>
    <w:rsid w:val="00666E46"/>
    <w:rsid w:val="0067204B"/>
    <w:rsid w:val="00675C49"/>
    <w:rsid w:val="006802E9"/>
    <w:rsid w:val="00680546"/>
    <w:rsid w:val="00682B69"/>
    <w:rsid w:val="006A47BD"/>
    <w:rsid w:val="006B43BE"/>
    <w:rsid w:val="006B5677"/>
    <w:rsid w:val="006B6478"/>
    <w:rsid w:val="006B6747"/>
    <w:rsid w:val="006B7641"/>
    <w:rsid w:val="006C1351"/>
    <w:rsid w:val="006C2897"/>
    <w:rsid w:val="006D14CB"/>
    <w:rsid w:val="006D2EB4"/>
    <w:rsid w:val="006D2F9D"/>
    <w:rsid w:val="006D3B0D"/>
    <w:rsid w:val="006D3BC4"/>
    <w:rsid w:val="006D3E4D"/>
    <w:rsid w:val="006D3F50"/>
    <w:rsid w:val="006D5DD6"/>
    <w:rsid w:val="006D642B"/>
    <w:rsid w:val="006D6C3D"/>
    <w:rsid w:val="006E5170"/>
    <w:rsid w:val="006E60A7"/>
    <w:rsid w:val="006F7C48"/>
    <w:rsid w:val="00700C47"/>
    <w:rsid w:val="00700D28"/>
    <w:rsid w:val="007010A3"/>
    <w:rsid w:val="00704B06"/>
    <w:rsid w:val="007112D2"/>
    <w:rsid w:val="00711AD6"/>
    <w:rsid w:val="0071403D"/>
    <w:rsid w:val="007166B2"/>
    <w:rsid w:val="007176AC"/>
    <w:rsid w:val="00722ABB"/>
    <w:rsid w:val="0073149E"/>
    <w:rsid w:val="007320DC"/>
    <w:rsid w:val="0073219C"/>
    <w:rsid w:val="00734EFD"/>
    <w:rsid w:val="0073509A"/>
    <w:rsid w:val="007425AD"/>
    <w:rsid w:val="00744820"/>
    <w:rsid w:val="00746DE3"/>
    <w:rsid w:val="007514DA"/>
    <w:rsid w:val="00753970"/>
    <w:rsid w:val="00754129"/>
    <w:rsid w:val="007574D4"/>
    <w:rsid w:val="007579A3"/>
    <w:rsid w:val="007617A3"/>
    <w:rsid w:val="00763071"/>
    <w:rsid w:val="00764EF1"/>
    <w:rsid w:val="007803BA"/>
    <w:rsid w:val="00780903"/>
    <w:rsid w:val="007819BF"/>
    <w:rsid w:val="00783A74"/>
    <w:rsid w:val="007860BB"/>
    <w:rsid w:val="0078689C"/>
    <w:rsid w:val="00791EE1"/>
    <w:rsid w:val="00794D50"/>
    <w:rsid w:val="00794D74"/>
    <w:rsid w:val="007960C6"/>
    <w:rsid w:val="0079663F"/>
    <w:rsid w:val="00797171"/>
    <w:rsid w:val="0079751F"/>
    <w:rsid w:val="007A6819"/>
    <w:rsid w:val="007B2AE3"/>
    <w:rsid w:val="007B2BCA"/>
    <w:rsid w:val="007B399D"/>
    <w:rsid w:val="007B6842"/>
    <w:rsid w:val="007B772A"/>
    <w:rsid w:val="007C45C6"/>
    <w:rsid w:val="007C5452"/>
    <w:rsid w:val="007C64E1"/>
    <w:rsid w:val="007C735E"/>
    <w:rsid w:val="007D0644"/>
    <w:rsid w:val="007D08D1"/>
    <w:rsid w:val="007D1539"/>
    <w:rsid w:val="007D510E"/>
    <w:rsid w:val="007D57E9"/>
    <w:rsid w:val="007D632E"/>
    <w:rsid w:val="007E0495"/>
    <w:rsid w:val="007E1262"/>
    <w:rsid w:val="007E389D"/>
    <w:rsid w:val="007E4A70"/>
    <w:rsid w:val="007E5A05"/>
    <w:rsid w:val="007E5E70"/>
    <w:rsid w:val="007E703E"/>
    <w:rsid w:val="007E7F89"/>
    <w:rsid w:val="007F02CE"/>
    <w:rsid w:val="007F1404"/>
    <w:rsid w:val="007F4205"/>
    <w:rsid w:val="007F4A3C"/>
    <w:rsid w:val="007F73DB"/>
    <w:rsid w:val="008016A1"/>
    <w:rsid w:val="008041D5"/>
    <w:rsid w:val="00812FBB"/>
    <w:rsid w:val="00816329"/>
    <w:rsid w:val="00820921"/>
    <w:rsid w:val="00820FEB"/>
    <w:rsid w:val="00827645"/>
    <w:rsid w:val="00827DBD"/>
    <w:rsid w:val="008333E3"/>
    <w:rsid w:val="0083611B"/>
    <w:rsid w:val="00837A46"/>
    <w:rsid w:val="00843C05"/>
    <w:rsid w:val="00845BD3"/>
    <w:rsid w:val="008518DD"/>
    <w:rsid w:val="0085427C"/>
    <w:rsid w:val="0085588E"/>
    <w:rsid w:val="008567C6"/>
    <w:rsid w:val="00861325"/>
    <w:rsid w:val="008655CB"/>
    <w:rsid w:val="008663EF"/>
    <w:rsid w:val="00876A97"/>
    <w:rsid w:val="0088072B"/>
    <w:rsid w:val="00882445"/>
    <w:rsid w:val="00883401"/>
    <w:rsid w:val="0088371B"/>
    <w:rsid w:val="00883B33"/>
    <w:rsid w:val="00883E62"/>
    <w:rsid w:val="00891F8E"/>
    <w:rsid w:val="00896102"/>
    <w:rsid w:val="00897829"/>
    <w:rsid w:val="008A0E50"/>
    <w:rsid w:val="008A30D5"/>
    <w:rsid w:val="008A3148"/>
    <w:rsid w:val="008A3725"/>
    <w:rsid w:val="008A685C"/>
    <w:rsid w:val="008A76B3"/>
    <w:rsid w:val="008B0A8E"/>
    <w:rsid w:val="008B3847"/>
    <w:rsid w:val="008B71AB"/>
    <w:rsid w:val="008C0EAE"/>
    <w:rsid w:val="008C3263"/>
    <w:rsid w:val="008C34F9"/>
    <w:rsid w:val="008C5EF9"/>
    <w:rsid w:val="008C7877"/>
    <w:rsid w:val="008C79AC"/>
    <w:rsid w:val="008D2338"/>
    <w:rsid w:val="008D2E72"/>
    <w:rsid w:val="008E1552"/>
    <w:rsid w:val="008E2116"/>
    <w:rsid w:val="008E37C4"/>
    <w:rsid w:val="008E5DBD"/>
    <w:rsid w:val="008F0C99"/>
    <w:rsid w:val="008F26E8"/>
    <w:rsid w:val="008F2BCC"/>
    <w:rsid w:val="008F4E21"/>
    <w:rsid w:val="008F5F42"/>
    <w:rsid w:val="008F7760"/>
    <w:rsid w:val="00904823"/>
    <w:rsid w:val="00905370"/>
    <w:rsid w:val="0090635C"/>
    <w:rsid w:val="009071AE"/>
    <w:rsid w:val="0090745A"/>
    <w:rsid w:val="00911143"/>
    <w:rsid w:val="00911252"/>
    <w:rsid w:val="00912895"/>
    <w:rsid w:val="00913592"/>
    <w:rsid w:val="009136BD"/>
    <w:rsid w:val="00913BAA"/>
    <w:rsid w:val="00920882"/>
    <w:rsid w:val="0092115C"/>
    <w:rsid w:val="009219B5"/>
    <w:rsid w:val="00923005"/>
    <w:rsid w:val="00924838"/>
    <w:rsid w:val="009263B6"/>
    <w:rsid w:val="00932F02"/>
    <w:rsid w:val="009402E6"/>
    <w:rsid w:val="009412FF"/>
    <w:rsid w:val="00942174"/>
    <w:rsid w:val="009423E3"/>
    <w:rsid w:val="009424E3"/>
    <w:rsid w:val="00944178"/>
    <w:rsid w:val="009450F5"/>
    <w:rsid w:val="00952F08"/>
    <w:rsid w:val="00953CCA"/>
    <w:rsid w:val="009571F5"/>
    <w:rsid w:val="00957532"/>
    <w:rsid w:val="00961204"/>
    <w:rsid w:val="00964561"/>
    <w:rsid w:val="0096515B"/>
    <w:rsid w:val="0096748D"/>
    <w:rsid w:val="00970F4B"/>
    <w:rsid w:val="00972148"/>
    <w:rsid w:val="00975BB6"/>
    <w:rsid w:val="0098051B"/>
    <w:rsid w:val="00981C58"/>
    <w:rsid w:val="009822AE"/>
    <w:rsid w:val="00982C1B"/>
    <w:rsid w:val="00982DA4"/>
    <w:rsid w:val="00983FE5"/>
    <w:rsid w:val="009851C9"/>
    <w:rsid w:val="009903DF"/>
    <w:rsid w:val="00991929"/>
    <w:rsid w:val="009922F7"/>
    <w:rsid w:val="00992B70"/>
    <w:rsid w:val="009A0245"/>
    <w:rsid w:val="009A251A"/>
    <w:rsid w:val="009B0922"/>
    <w:rsid w:val="009C1616"/>
    <w:rsid w:val="009C439D"/>
    <w:rsid w:val="009C503C"/>
    <w:rsid w:val="009C783E"/>
    <w:rsid w:val="009D1A5B"/>
    <w:rsid w:val="009D3658"/>
    <w:rsid w:val="009D52B8"/>
    <w:rsid w:val="009D7441"/>
    <w:rsid w:val="009D7D8E"/>
    <w:rsid w:val="009E121B"/>
    <w:rsid w:val="009E31D7"/>
    <w:rsid w:val="009E4571"/>
    <w:rsid w:val="009E4689"/>
    <w:rsid w:val="009E48F2"/>
    <w:rsid w:val="009E64B7"/>
    <w:rsid w:val="009E6D0E"/>
    <w:rsid w:val="009E770F"/>
    <w:rsid w:val="009F14E6"/>
    <w:rsid w:val="009F20A0"/>
    <w:rsid w:val="009F2B47"/>
    <w:rsid w:val="009F592E"/>
    <w:rsid w:val="009F5BA7"/>
    <w:rsid w:val="009F7BA9"/>
    <w:rsid w:val="00A02FBF"/>
    <w:rsid w:val="00A05813"/>
    <w:rsid w:val="00A05BEA"/>
    <w:rsid w:val="00A10B83"/>
    <w:rsid w:val="00A122DB"/>
    <w:rsid w:val="00A14489"/>
    <w:rsid w:val="00A167F9"/>
    <w:rsid w:val="00A17BBD"/>
    <w:rsid w:val="00A22FA5"/>
    <w:rsid w:val="00A255DF"/>
    <w:rsid w:val="00A2598A"/>
    <w:rsid w:val="00A30541"/>
    <w:rsid w:val="00A336DF"/>
    <w:rsid w:val="00A33BA1"/>
    <w:rsid w:val="00A3407E"/>
    <w:rsid w:val="00A34722"/>
    <w:rsid w:val="00A36885"/>
    <w:rsid w:val="00A41D1F"/>
    <w:rsid w:val="00A442BE"/>
    <w:rsid w:val="00A45138"/>
    <w:rsid w:val="00A4587A"/>
    <w:rsid w:val="00A50E16"/>
    <w:rsid w:val="00A54900"/>
    <w:rsid w:val="00A54BBF"/>
    <w:rsid w:val="00A54FD5"/>
    <w:rsid w:val="00A63552"/>
    <w:rsid w:val="00A647DD"/>
    <w:rsid w:val="00A66522"/>
    <w:rsid w:val="00A7073D"/>
    <w:rsid w:val="00A754CC"/>
    <w:rsid w:val="00A80B1C"/>
    <w:rsid w:val="00A822A4"/>
    <w:rsid w:val="00A85DCE"/>
    <w:rsid w:val="00A86B10"/>
    <w:rsid w:val="00A93D5D"/>
    <w:rsid w:val="00AA09F7"/>
    <w:rsid w:val="00AA335D"/>
    <w:rsid w:val="00AA38D8"/>
    <w:rsid w:val="00AA3B1A"/>
    <w:rsid w:val="00AA3BAD"/>
    <w:rsid w:val="00AB02AF"/>
    <w:rsid w:val="00AB03CE"/>
    <w:rsid w:val="00AB0845"/>
    <w:rsid w:val="00AB0C6B"/>
    <w:rsid w:val="00AB23A7"/>
    <w:rsid w:val="00AB23BC"/>
    <w:rsid w:val="00AB2E96"/>
    <w:rsid w:val="00AB589E"/>
    <w:rsid w:val="00AC11EA"/>
    <w:rsid w:val="00AC2E47"/>
    <w:rsid w:val="00AC4649"/>
    <w:rsid w:val="00AC5018"/>
    <w:rsid w:val="00AC53A4"/>
    <w:rsid w:val="00AC5513"/>
    <w:rsid w:val="00AC6341"/>
    <w:rsid w:val="00AC74A2"/>
    <w:rsid w:val="00AD370A"/>
    <w:rsid w:val="00AD559C"/>
    <w:rsid w:val="00AD5852"/>
    <w:rsid w:val="00AD734E"/>
    <w:rsid w:val="00AE065D"/>
    <w:rsid w:val="00AE3AB4"/>
    <w:rsid w:val="00AF15CD"/>
    <w:rsid w:val="00AF1BF5"/>
    <w:rsid w:val="00AF3198"/>
    <w:rsid w:val="00AF3767"/>
    <w:rsid w:val="00AF438D"/>
    <w:rsid w:val="00AF5014"/>
    <w:rsid w:val="00B0016F"/>
    <w:rsid w:val="00B026A6"/>
    <w:rsid w:val="00B04456"/>
    <w:rsid w:val="00B04D85"/>
    <w:rsid w:val="00B173BA"/>
    <w:rsid w:val="00B20B04"/>
    <w:rsid w:val="00B21460"/>
    <w:rsid w:val="00B23131"/>
    <w:rsid w:val="00B248A4"/>
    <w:rsid w:val="00B25E5D"/>
    <w:rsid w:val="00B261B3"/>
    <w:rsid w:val="00B26797"/>
    <w:rsid w:val="00B26A4D"/>
    <w:rsid w:val="00B300C1"/>
    <w:rsid w:val="00B31601"/>
    <w:rsid w:val="00B316E7"/>
    <w:rsid w:val="00B3392C"/>
    <w:rsid w:val="00B34513"/>
    <w:rsid w:val="00B37531"/>
    <w:rsid w:val="00B40482"/>
    <w:rsid w:val="00B42989"/>
    <w:rsid w:val="00B442C4"/>
    <w:rsid w:val="00B455AA"/>
    <w:rsid w:val="00B6050C"/>
    <w:rsid w:val="00B646C2"/>
    <w:rsid w:val="00B67006"/>
    <w:rsid w:val="00B71F11"/>
    <w:rsid w:val="00B76972"/>
    <w:rsid w:val="00B76A01"/>
    <w:rsid w:val="00B77535"/>
    <w:rsid w:val="00B80E4A"/>
    <w:rsid w:val="00B827AF"/>
    <w:rsid w:val="00B83983"/>
    <w:rsid w:val="00B84075"/>
    <w:rsid w:val="00B84C90"/>
    <w:rsid w:val="00B84CB1"/>
    <w:rsid w:val="00B8695A"/>
    <w:rsid w:val="00B86A80"/>
    <w:rsid w:val="00B9621E"/>
    <w:rsid w:val="00BA2833"/>
    <w:rsid w:val="00BA44A4"/>
    <w:rsid w:val="00BB2DA6"/>
    <w:rsid w:val="00BB734D"/>
    <w:rsid w:val="00BC1133"/>
    <w:rsid w:val="00BC5FE2"/>
    <w:rsid w:val="00BC6210"/>
    <w:rsid w:val="00BC7EB3"/>
    <w:rsid w:val="00BD30D1"/>
    <w:rsid w:val="00BD47B2"/>
    <w:rsid w:val="00BD6C27"/>
    <w:rsid w:val="00BD70CE"/>
    <w:rsid w:val="00BD73C1"/>
    <w:rsid w:val="00BE003E"/>
    <w:rsid w:val="00BE10D7"/>
    <w:rsid w:val="00BE1688"/>
    <w:rsid w:val="00BE1F41"/>
    <w:rsid w:val="00BE38B8"/>
    <w:rsid w:val="00BE51C8"/>
    <w:rsid w:val="00BE647C"/>
    <w:rsid w:val="00BE6E28"/>
    <w:rsid w:val="00BE77DB"/>
    <w:rsid w:val="00BF15AB"/>
    <w:rsid w:val="00BF25B8"/>
    <w:rsid w:val="00BF28D1"/>
    <w:rsid w:val="00BF3FAE"/>
    <w:rsid w:val="00BF4193"/>
    <w:rsid w:val="00C00BF7"/>
    <w:rsid w:val="00C00D94"/>
    <w:rsid w:val="00C01588"/>
    <w:rsid w:val="00C0235E"/>
    <w:rsid w:val="00C044C4"/>
    <w:rsid w:val="00C07D94"/>
    <w:rsid w:val="00C11A63"/>
    <w:rsid w:val="00C12582"/>
    <w:rsid w:val="00C20DC9"/>
    <w:rsid w:val="00C2251C"/>
    <w:rsid w:val="00C23ECA"/>
    <w:rsid w:val="00C24CBD"/>
    <w:rsid w:val="00C24F8D"/>
    <w:rsid w:val="00C26D5B"/>
    <w:rsid w:val="00C32CB4"/>
    <w:rsid w:val="00C4223C"/>
    <w:rsid w:val="00C465DD"/>
    <w:rsid w:val="00C47048"/>
    <w:rsid w:val="00C471DB"/>
    <w:rsid w:val="00C50FC7"/>
    <w:rsid w:val="00C51D81"/>
    <w:rsid w:val="00C53582"/>
    <w:rsid w:val="00C535CC"/>
    <w:rsid w:val="00C62377"/>
    <w:rsid w:val="00C6655E"/>
    <w:rsid w:val="00C7155F"/>
    <w:rsid w:val="00C7235A"/>
    <w:rsid w:val="00C72C83"/>
    <w:rsid w:val="00C7573B"/>
    <w:rsid w:val="00C77419"/>
    <w:rsid w:val="00C81BB1"/>
    <w:rsid w:val="00C826C6"/>
    <w:rsid w:val="00C82D78"/>
    <w:rsid w:val="00C850F9"/>
    <w:rsid w:val="00C87101"/>
    <w:rsid w:val="00C904E9"/>
    <w:rsid w:val="00C90A1B"/>
    <w:rsid w:val="00C91AC0"/>
    <w:rsid w:val="00C924B7"/>
    <w:rsid w:val="00C958E2"/>
    <w:rsid w:val="00C96845"/>
    <w:rsid w:val="00C979CB"/>
    <w:rsid w:val="00C97FC0"/>
    <w:rsid w:val="00CA0296"/>
    <w:rsid w:val="00CA03FD"/>
    <w:rsid w:val="00CA38A9"/>
    <w:rsid w:val="00CA3B7E"/>
    <w:rsid w:val="00CA4009"/>
    <w:rsid w:val="00CA5ECE"/>
    <w:rsid w:val="00CA6091"/>
    <w:rsid w:val="00CA76A8"/>
    <w:rsid w:val="00CA7759"/>
    <w:rsid w:val="00CA778E"/>
    <w:rsid w:val="00CA7F32"/>
    <w:rsid w:val="00CC2712"/>
    <w:rsid w:val="00CC42BE"/>
    <w:rsid w:val="00CC5C3E"/>
    <w:rsid w:val="00CC63AA"/>
    <w:rsid w:val="00CD2AFB"/>
    <w:rsid w:val="00CE118B"/>
    <w:rsid w:val="00CE4121"/>
    <w:rsid w:val="00CE548C"/>
    <w:rsid w:val="00CE64E4"/>
    <w:rsid w:val="00CE6A7D"/>
    <w:rsid w:val="00CF0BD4"/>
    <w:rsid w:val="00CF108A"/>
    <w:rsid w:val="00CF3584"/>
    <w:rsid w:val="00CF3668"/>
    <w:rsid w:val="00CF552E"/>
    <w:rsid w:val="00CF69A0"/>
    <w:rsid w:val="00CF72BD"/>
    <w:rsid w:val="00D0463B"/>
    <w:rsid w:val="00D05EEC"/>
    <w:rsid w:val="00D13CB6"/>
    <w:rsid w:val="00D147F7"/>
    <w:rsid w:val="00D16437"/>
    <w:rsid w:val="00D173CA"/>
    <w:rsid w:val="00D211C4"/>
    <w:rsid w:val="00D22DFA"/>
    <w:rsid w:val="00D240B9"/>
    <w:rsid w:val="00D24D3E"/>
    <w:rsid w:val="00D261A9"/>
    <w:rsid w:val="00D26BAC"/>
    <w:rsid w:val="00D30420"/>
    <w:rsid w:val="00D31356"/>
    <w:rsid w:val="00D34E28"/>
    <w:rsid w:val="00D354F7"/>
    <w:rsid w:val="00D430A4"/>
    <w:rsid w:val="00D47764"/>
    <w:rsid w:val="00D5083E"/>
    <w:rsid w:val="00D5140E"/>
    <w:rsid w:val="00D51DB1"/>
    <w:rsid w:val="00D521DD"/>
    <w:rsid w:val="00D608D7"/>
    <w:rsid w:val="00D609F2"/>
    <w:rsid w:val="00D63556"/>
    <w:rsid w:val="00D70B59"/>
    <w:rsid w:val="00D71E9A"/>
    <w:rsid w:val="00D76A5C"/>
    <w:rsid w:val="00D76FED"/>
    <w:rsid w:val="00D85780"/>
    <w:rsid w:val="00D90358"/>
    <w:rsid w:val="00D91CB5"/>
    <w:rsid w:val="00D9295B"/>
    <w:rsid w:val="00D9306F"/>
    <w:rsid w:val="00D939CB"/>
    <w:rsid w:val="00D94A7E"/>
    <w:rsid w:val="00D95FEC"/>
    <w:rsid w:val="00D97140"/>
    <w:rsid w:val="00DA49E9"/>
    <w:rsid w:val="00DA5EB2"/>
    <w:rsid w:val="00DA680A"/>
    <w:rsid w:val="00DA7637"/>
    <w:rsid w:val="00DA771B"/>
    <w:rsid w:val="00DB015A"/>
    <w:rsid w:val="00DB5946"/>
    <w:rsid w:val="00DB5F2E"/>
    <w:rsid w:val="00DB6E0E"/>
    <w:rsid w:val="00DC03CD"/>
    <w:rsid w:val="00DC210F"/>
    <w:rsid w:val="00DD05AF"/>
    <w:rsid w:val="00DD0A2C"/>
    <w:rsid w:val="00DD0AAE"/>
    <w:rsid w:val="00DD2263"/>
    <w:rsid w:val="00DD3BE9"/>
    <w:rsid w:val="00DD6C84"/>
    <w:rsid w:val="00DE070C"/>
    <w:rsid w:val="00DE2AAD"/>
    <w:rsid w:val="00DE45F7"/>
    <w:rsid w:val="00DF03B4"/>
    <w:rsid w:val="00DF0645"/>
    <w:rsid w:val="00DF1B99"/>
    <w:rsid w:val="00DF1CD1"/>
    <w:rsid w:val="00DF253F"/>
    <w:rsid w:val="00DF2598"/>
    <w:rsid w:val="00DF3483"/>
    <w:rsid w:val="00DF4205"/>
    <w:rsid w:val="00DF45D7"/>
    <w:rsid w:val="00DF55B3"/>
    <w:rsid w:val="00DF6EC9"/>
    <w:rsid w:val="00E0378F"/>
    <w:rsid w:val="00E10A36"/>
    <w:rsid w:val="00E10EBB"/>
    <w:rsid w:val="00E12A08"/>
    <w:rsid w:val="00E16428"/>
    <w:rsid w:val="00E16853"/>
    <w:rsid w:val="00E17120"/>
    <w:rsid w:val="00E17156"/>
    <w:rsid w:val="00E1743B"/>
    <w:rsid w:val="00E2129C"/>
    <w:rsid w:val="00E261AB"/>
    <w:rsid w:val="00E26802"/>
    <w:rsid w:val="00E26D1B"/>
    <w:rsid w:val="00E302B5"/>
    <w:rsid w:val="00E30607"/>
    <w:rsid w:val="00E3207B"/>
    <w:rsid w:val="00E3362B"/>
    <w:rsid w:val="00E35D5F"/>
    <w:rsid w:val="00E36722"/>
    <w:rsid w:val="00E3740A"/>
    <w:rsid w:val="00E374C7"/>
    <w:rsid w:val="00E417A8"/>
    <w:rsid w:val="00E41BA8"/>
    <w:rsid w:val="00E43131"/>
    <w:rsid w:val="00E47A40"/>
    <w:rsid w:val="00E556AA"/>
    <w:rsid w:val="00E55F4E"/>
    <w:rsid w:val="00E56FDD"/>
    <w:rsid w:val="00E622B0"/>
    <w:rsid w:val="00E6260A"/>
    <w:rsid w:val="00E63CB1"/>
    <w:rsid w:val="00E706E5"/>
    <w:rsid w:val="00E72220"/>
    <w:rsid w:val="00E73C47"/>
    <w:rsid w:val="00E7576D"/>
    <w:rsid w:val="00E80AA6"/>
    <w:rsid w:val="00E811F3"/>
    <w:rsid w:val="00E8200F"/>
    <w:rsid w:val="00E8315A"/>
    <w:rsid w:val="00E862C8"/>
    <w:rsid w:val="00E86670"/>
    <w:rsid w:val="00E877F3"/>
    <w:rsid w:val="00E95872"/>
    <w:rsid w:val="00E97526"/>
    <w:rsid w:val="00EA1D93"/>
    <w:rsid w:val="00EB28ED"/>
    <w:rsid w:val="00EB3159"/>
    <w:rsid w:val="00EB3391"/>
    <w:rsid w:val="00EC003D"/>
    <w:rsid w:val="00EC04D6"/>
    <w:rsid w:val="00EC18E4"/>
    <w:rsid w:val="00EC2906"/>
    <w:rsid w:val="00EC2F6B"/>
    <w:rsid w:val="00EC4505"/>
    <w:rsid w:val="00ED17B0"/>
    <w:rsid w:val="00ED386B"/>
    <w:rsid w:val="00ED3AD5"/>
    <w:rsid w:val="00ED7C89"/>
    <w:rsid w:val="00EE0044"/>
    <w:rsid w:val="00EE028E"/>
    <w:rsid w:val="00EE169B"/>
    <w:rsid w:val="00EE18AB"/>
    <w:rsid w:val="00EE6880"/>
    <w:rsid w:val="00EE71D9"/>
    <w:rsid w:val="00EE7649"/>
    <w:rsid w:val="00EF06A1"/>
    <w:rsid w:val="00EF06FB"/>
    <w:rsid w:val="00EF31BA"/>
    <w:rsid w:val="00EF479B"/>
    <w:rsid w:val="00EF6ED5"/>
    <w:rsid w:val="00EF71EE"/>
    <w:rsid w:val="00EF7394"/>
    <w:rsid w:val="00EF74A7"/>
    <w:rsid w:val="00F00597"/>
    <w:rsid w:val="00F05B93"/>
    <w:rsid w:val="00F12087"/>
    <w:rsid w:val="00F13371"/>
    <w:rsid w:val="00F137C2"/>
    <w:rsid w:val="00F166A5"/>
    <w:rsid w:val="00F179ED"/>
    <w:rsid w:val="00F221D0"/>
    <w:rsid w:val="00F222AE"/>
    <w:rsid w:val="00F22FB0"/>
    <w:rsid w:val="00F24415"/>
    <w:rsid w:val="00F3045D"/>
    <w:rsid w:val="00F31FF3"/>
    <w:rsid w:val="00F3216A"/>
    <w:rsid w:val="00F32552"/>
    <w:rsid w:val="00F343AF"/>
    <w:rsid w:val="00F3565B"/>
    <w:rsid w:val="00F377D4"/>
    <w:rsid w:val="00F42AF3"/>
    <w:rsid w:val="00F4322B"/>
    <w:rsid w:val="00F44B85"/>
    <w:rsid w:val="00F45E4B"/>
    <w:rsid w:val="00F461DB"/>
    <w:rsid w:val="00F47991"/>
    <w:rsid w:val="00F52175"/>
    <w:rsid w:val="00F521E2"/>
    <w:rsid w:val="00F52B7A"/>
    <w:rsid w:val="00F5357B"/>
    <w:rsid w:val="00F57E85"/>
    <w:rsid w:val="00F61F8D"/>
    <w:rsid w:val="00F6508F"/>
    <w:rsid w:val="00F83A07"/>
    <w:rsid w:val="00F83A49"/>
    <w:rsid w:val="00F85C59"/>
    <w:rsid w:val="00F87635"/>
    <w:rsid w:val="00F90829"/>
    <w:rsid w:val="00F92537"/>
    <w:rsid w:val="00F94F62"/>
    <w:rsid w:val="00FA02BE"/>
    <w:rsid w:val="00FA2A55"/>
    <w:rsid w:val="00FA34FE"/>
    <w:rsid w:val="00FA45B6"/>
    <w:rsid w:val="00FA4A4F"/>
    <w:rsid w:val="00FA6B95"/>
    <w:rsid w:val="00FB1C24"/>
    <w:rsid w:val="00FB3844"/>
    <w:rsid w:val="00FB7C84"/>
    <w:rsid w:val="00FC34D2"/>
    <w:rsid w:val="00FC5BBE"/>
    <w:rsid w:val="00FD220F"/>
    <w:rsid w:val="00FD4F4F"/>
    <w:rsid w:val="00FD7175"/>
    <w:rsid w:val="00FE0CB1"/>
    <w:rsid w:val="00FE6D0A"/>
    <w:rsid w:val="00FE7436"/>
    <w:rsid w:val="00FE7ECE"/>
    <w:rsid w:val="00FF0180"/>
    <w:rsid w:val="00FF1D31"/>
    <w:rsid w:val="00FF2487"/>
    <w:rsid w:val="00FF425E"/>
    <w:rsid w:val="00FF6D7B"/>
    <w:rsid w:val="00FF7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B022"/>
  <w15:docId w15:val="{A6A2A3F0-04D6-437D-A97C-C64A7080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DF1"/>
  </w:style>
  <w:style w:type="paragraph" w:styleId="Titolo1">
    <w:name w:val="heading 1"/>
    <w:basedOn w:val="Normale"/>
    <w:next w:val="Normale"/>
    <w:link w:val="Titolo1Carattere"/>
    <w:uiPriority w:val="9"/>
    <w:qFormat/>
    <w:rsid w:val="00542C1C"/>
    <w:pPr>
      <w:keepNext/>
      <w:keepLines/>
      <w:spacing w:before="600" w:after="240"/>
      <w:outlineLvl w:val="0"/>
    </w:pPr>
    <w:rPr>
      <w:rFonts w:ascii="Calibri" w:eastAsiaTheme="majorEastAsia" w:hAnsi="Calibri" w:cstheme="majorBidi"/>
      <w:b/>
      <w:sz w:val="24"/>
      <w:szCs w:val="32"/>
    </w:rPr>
  </w:style>
  <w:style w:type="paragraph" w:styleId="Titolo2">
    <w:name w:val="heading 2"/>
    <w:basedOn w:val="Normale"/>
    <w:next w:val="Normale"/>
    <w:link w:val="Titolo2Carattere"/>
    <w:uiPriority w:val="9"/>
    <w:unhideWhenUsed/>
    <w:qFormat/>
    <w:rsid w:val="00542C1C"/>
    <w:pPr>
      <w:keepNext/>
      <w:keepLines/>
      <w:spacing w:before="360" w:after="120"/>
      <w:jc w:val="both"/>
      <w:outlineLvl w:val="1"/>
    </w:pPr>
    <w:rPr>
      <w:rFonts w:ascii="Calibri" w:eastAsiaTheme="majorEastAsia" w:hAnsi="Calibri" w:cstheme="majorBidi"/>
      <w:b/>
      <w:i/>
      <w:szCs w:val="26"/>
    </w:rPr>
  </w:style>
  <w:style w:type="paragraph" w:styleId="Titolo3">
    <w:name w:val="heading 3"/>
    <w:basedOn w:val="Normale"/>
    <w:next w:val="Normale"/>
    <w:link w:val="Titolo3Carattere"/>
    <w:uiPriority w:val="99"/>
    <w:unhideWhenUsed/>
    <w:qFormat/>
    <w:rsid w:val="00542C1C"/>
    <w:pPr>
      <w:keepNext/>
      <w:keepLines/>
      <w:spacing w:before="360" w:after="120"/>
      <w:outlineLvl w:val="2"/>
    </w:pPr>
    <w:rPr>
      <w:rFonts w:ascii="Calibri" w:eastAsiaTheme="majorEastAsia" w:hAnsi="Calibri" w:cstheme="majorBidi"/>
      <w:b/>
      <w:i/>
      <w:szCs w:val="24"/>
    </w:rPr>
  </w:style>
  <w:style w:type="paragraph" w:styleId="Titolo5">
    <w:name w:val="heading 5"/>
    <w:basedOn w:val="Normale"/>
    <w:next w:val="Normale"/>
    <w:link w:val="Titolo5Carattere"/>
    <w:autoRedefine/>
    <w:uiPriority w:val="9"/>
    <w:unhideWhenUsed/>
    <w:qFormat/>
    <w:rsid w:val="00542C1C"/>
    <w:pPr>
      <w:keepNext/>
      <w:keepLines/>
      <w:spacing w:before="40" w:after="0" w:line="240" w:lineRule="auto"/>
      <w:outlineLvl w:val="4"/>
    </w:pPr>
    <w:rPr>
      <w:rFonts w:eastAsiaTheme="majorEastAsia" w:cstheme="majorBidi"/>
      <w:b/>
      <w:color w:val="54616C"/>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C1C"/>
    <w:rPr>
      <w:rFonts w:ascii="Calibri" w:eastAsiaTheme="majorEastAsia" w:hAnsi="Calibri" w:cstheme="majorBidi"/>
      <w:b/>
      <w:sz w:val="24"/>
      <w:szCs w:val="32"/>
    </w:rPr>
  </w:style>
  <w:style w:type="character" w:customStyle="1" w:styleId="Titolo2Carattere">
    <w:name w:val="Titolo 2 Carattere"/>
    <w:basedOn w:val="Carpredefinitoparagrafo"/>
    <w:link w:val="Titolo2"/>
    <w:uiPriority w:val="9"/>
    <w:rsid w:val="00542C1C"/>
    <w:rPr>
      <w:rFonts w:ascii="Calibri" w:eastAsiaTheme="majorEastAsia" w:hAnsi="Calibri" w:cstheme="majorBidi"/>
      <w:b/>
      <w:i/>
      <w:szCs w:val="26"/>
    </w:rPr>
  </w:style>
  <w:style w:type="character" w:customStyle="1" w:styleId="Titolo3Carattere">
    <w:name w:val="Titolo 3 Carattere"/>
    <w:basedOn w:val="Carpredefinitoparagrafo"/>
    <w:link w:val="Titolo3"/>
    <w:uiPriority w:val="99"/>
    <w:rsid w:val="00542C1C"/>
    <w:rPr>
      <w:rFonts w:ascii="Calibri" w:eastAsiaTheme="majorEastAsia" w:hAnsi="Calibri" w:cstheme="majorBidi"/>
      <w:b/>
      <w:i/>
      <w:szCs w:val="24"/>
    </w:rPr>
  </w:style>
  <w:style w:type="character" w:customStyle="1" w:styleId="Titolo5Carattere">
    <w:name w:val="Titolo 5 Carattere"/>
    <w:basedOn w:val="Carpredefinitoparagrafo"/>
    <w:link w:val="Titolo5"/>
    <w:uiPriority w:val="9"/>
    <w:rsid w:val="00542C1C"/>
    <w:rPr>
      <w:rFonts w:eastAsiaTheme="majorEastAsia" w:cstheme="majorBidi"/>
      <w:b/>
      <w:color w:val="54616C"/>
      <w:sz w:val="24"/>
      <w:szCs w:val="24"/>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542C1C"/>
    <w:pPr>
      <w:ind w:left="720"/>
      <w:contextualSpacing/>
    </w:pPr>
  </w:style>
  <w:style w:type="paragraph" w:styleId="Intestazione">
    <w:name w:val="header"/>
    <w:basedOn w:val="Normale"/>
    <w:link w:val="IntestazioneCarattere"/>
    <w:uiPriority w:val="99"/>
    <w:unhideWhenUsed/>
    <w:rsid w:val="00542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C1C"/>
  </w:style>
  <w:style w:type="paragraph" w:styleId="Pidipagina">
    <w:name w:val="footer"/>
    <w:basedOn w:val="Normale"/>
    <w:link w:val="PidipaginaCarattere"/>
    <w:uiPriority w:val="99"/>
    <w:unhideWhenUsed/>
    <w:rsid w:val="00542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C1C"/>
  </w:style>
  <w:style w:type="paragraph" w:styleId="Testonotaapidipagina">
    <w:name w:val="footnote text"/>
    <w:aliases w:val="Testo nota a piè di pagina Carattere1 Carattere,Testo nota a piè di pagina Carattere Carattere Carattere,Testo nota a piè di pagina Carattere1 Carattere Carattere Carattere,Carattere"/>
    <w:basedOn w:val="Normale"/>
    <w:link w:val="TestonotaapidipaginaCarattere"/>
    <w:autoRedefine/>
    <w:uiPriority w:val="99"/>
    <w:unhideWhenUsed/>
    <w:qFormat/>
    <w:rsid w:val="000D7660"/>
    <w:pPr>
      <w:spacing w:after="0" w:line="240" w:lineRule="auto"/>
      <w:contextualSpacing/>
      <w:jc w:val="both"/>
    </w:pPr>
    <w:rPr>
      <w:sz w:val="18"/>
      <w:szCs w:val="18"/>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
    <w:basedOn w:val="Carpredefinitoparagrafo"/>
    <w:link w:val="Testonotaapidipagina"/>
    <w:uiPriority w:val="99"/>
    <w:rsid w:val="000D7660"/>
    <w:rPr>
      <w:sz w:val="18"/>
      <w:szCs w:val="18"/>
    </w:rPr>
  </w:style>
  <w:style w:type="character" w:styleId="Rimandonotaapidipagina">
    <w:name w:val="footnote reference"/>
    <w:basedOn w:val="Carpredefinitoparagrafo"/>
    <w:uiPriority w:val="99"/>
    <w:unhideWhenUsed/>
    <w:rsid w:val="00542C1C"/>
    <w:rPr>
      <w:vertAlign w:val="superscript"/>
    </w:rPr>
  </w:style>
  <w:style w:type="paragraph" w:styleId="Testonormale">
    <w:name w:val="Plain Text"/>
    <w:basedOn w:val="Normale"/>
    <w:link w:val="TestonormaleCarattere"/>
    <w:uiPriority w:val="99"/>
    <w:unhideWhenUsed/>
    <w:rsid w:val="00542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42C1C"/>
    <w:rPr>
      <w:rFonts w:ascii="Calibri" w:hAnsi="Calibri"/>
      <w:szCs w:val="21"/>
    </w:rPr>
  </w:style>
  <w:style w:type="character" w:customStyle="1" w:styleId="apple-converted-space">
    <w:name w:val="apple-converted-space"/>
    <w:basedOn w:val="Carpredefinitoparagrafo"/>
    <w:rsid w:val="00542C1C"/>
  </w:style>
  <w:style w:type="character" w:styleId="Collegamentoipertestuale">
    <w:name w:val="Hyperlink"/>
    <w:basedOn w:val="Carpredefinitoparagrafo"/>
    <w:uiPriority w:val="99"/>
    <w:unhideWhenUsed/>
    <w:rsid w:val="00542C1C"/>
    <w:rPr>
      <w:color w:val="0000FF"/>
      <w:u w:val="single"/>
    </w:rPr>
  </w:style>
  <w:style w:type="character" w:styleId="Enfasicorsivo">
    <w:name w:val="Emphasis"/>
    <w:basedOn w:val="Carpredefinitoparagrafo"/>
    <w:uiPriority w:val="20"/>
    <w:qFormat/>
    <w:rsid w:val="00542C1C"/>
    <w:rPr>
      <w:i/>
      <w:iCs/>
    </w:rPr>
  </w:style>
  <w:style w:type="character" w:styleId="Enfasigrassetto">
    <w:name w:val="Strong"/>
    <w:basedOn w:val="Carpredefinitoparagrafo"/>
    <w:uiPriority w:val="22"/>
    <w:qFormat/>
    <w:rsid w:val="00542C1C"/>
    <w:rPr>
      <w:b/>
      <w:bCs/>
    </w:rPr>
  </w:style>
  <w:style w:type="paragraph" w:styleId="Revisione">
    <w:name w:val="Revision"/>
    <w:hidden/>
    <w:uiPriority w:val="99"/>
    <w:semiHidden/>
    <w:rsid w:val="00542C1C"/>
    <w:pPr>
      <w:spacing w:after="0" w:line="240" w:lineRule="auto"/>
    </w:pPr>
  </w:style>
  <w:style w:type="paragraph" w:styleId="Testofumetto">
    <w:name w:val="Balloon Text"/>
    <w:basedOn w:val="Normale"/>
    <w:link w:val="TestofumettoCarattere"/>
    <w:uiPriority w:val="99"/>
    <w:semiHidden/>
    <w:unhideWhenUsed/>
    <w:rsid w:val="00542C1C"/>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42C1C"/>
    <w:rPr>
      <w:rFonts w:ascii="Lucida Grande" w:hAnsi="Lucida Grande"/>
      <w:sz w:val="18"/>
      <w:szCs w:val="18"/>
    </w:rPr>
  </w:style>
  <w:style w:type="table" w:styleId="Grigliatabella">
    <w:name w:val="Table Grid"/>
    <w:basedOn w:val="Tabellanormale"/>
    <w:uiPriority w:val="39"/>
    <w:rsid w:val="00542C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rsid w:val="00542C1C"/>
    <w:pPr>
      <w:keepNext/>
      <w:spacing w:before="40" w:after="0" w:line="240" w:lineRule="auto"/>
      <w:ind w:right="-675"/>
    </w:pPr>
    <w:rPr>
      <w:rFonts w:ascii="Garamond" w:eastAsia="Calibri" w:hAnsi="Garamond" w:cs="Times New Roman"/>
      <w:b/>
      <w:bCs/>
      <w:smallCaps/>
      <w:spacing w:val="-10"/>
      <w:sz w:val="56"/>
      <w:szCs w:val="36"/>
    </w:rPr>
  </w:style>
  <w:style w:type="character" w:customStyle="1" w:styleId="TitoloCarattere">
    <w:name w:val="Titolo Carattere"/>
    <w:basedOn w:val="Carpredefinitoparagrafo"/>
    <w:link w:val="Titolo"/>
    <w:uiPriority w:val="10"/>
    <w:rsid w:val="00542C1C"/>
    <w:rPr>
      <w:rFonts w:ascii="Garamond" w:eastAsia="Calibri" w:hAnsi="Garamond" w:cs="Times New Roman"/>
      <w:b/>
      <w:bCs/>
      <w:smallCaps/>
      <w:spacing w:val="-10"/>
      <w:sz w:val="56"/>
      <w:szCs w:val="36"/>
    </w:rPr>
  </w:style>
  <w:style w:type="paragraph" w:styleId="Sottotitolo">
    <w:name w:val="Subtitle"/>
    <w:basedOn w:val="Normale"/>
    <w:next w:val="Normale"/>
    <w:link w:val="SottotitoloCarattere"/>
    <w:autoRedefine/>
    <w:uiPriority w:val="11"/>
    <w:qFormat/>
    <w:rsid w:val="00542C1C"/>
    <w:pPr>
      <w:numPr>
        <w:ilvl w:val="1"/>
      </w:numPr>
      <w:spacing w:before="240" w:after="160" w:line="240" w:lineRule="auto"/>
    </w:pPr>
    <w:rPr>
      <w:rFonts w:eastAsiaTheme="minorEastAsia"/>
      <w:color w:val="5A5A5A" w:themeColor="text1" w:themeTint="A5"/>
      <w:spacing w:val="15"/>
      <w:sz w:val="36"/>
    </w:rPr>
  </w:style>
  <w:style w:type="character" w:customStyle="1" w:styleId="SottotitoloCarattere">
    <w:name w:val="Sottotitolo Carattere"/>
    <w:basedOn w:val="Carpredefinitoparagrafo"/>
    <w:link w:val="Sottotitolo"/>
    <w:uiPriority w:val="11"/>
    <w:rsid w:val="00542C1C"/>
    <w:rPr>
      <w:rFonts w:eastAsiaTheme="minorEastAsia"/>
      <w:color w:val="5A5A5A" w:themeColor="text1" w:themeTint="A5"/>
      <w:spacing w:val="15"/>
      <w:sz w:val="36"/>
    </w:rPr>
  </w:style>
  <w:style w:type="paragraph" w:customStyle="1" w:styleId="Categoria">
    <w:name w:val="Categoria"/>
    <w:basedOn w:val="Normale"/>
    <w:qFormat/>
    <w:rsid w:val="00542C1C"/>
    <w:pPr>
      <w:spacing w:before="240" w:after="0" w:line="240" w:lineRule="auto"/>
    </w:pPr>
    <w:rPr>
      <w:b/>
      <w:bCs/>
      <w:caps/>
      <w:sz w:val="20"/>
      <w:szCs w:val="20"/>
      <w:lang w:val="en-GB"/>
    </w:rPr>
  </w:style>
  <w:style w:type="paragraph" w:customStyle="1" w:styleId="Data1">
    <w:name w:val="Data1"/>
    <w:basedOn w:val="Categoria"/>
    <w:qFormat/>
    <w:rsid w:val="00542C1C"/>
    <w:rPr>
      <w:caps w:val="0"/>
    </w:rPr>
  </w:style>
  <w:style w:type="paragraph" w:styleId="Sommario1">
    <w:name w:val="toc 1"/>
    <w:basedOn w:val="Normale"/>
    <w:next w:val="Normale"/>
    <w:autoRedefine/>
    <w:uiPriority w:val="39"/>
    <w:unhideWhenUsed/>
    <w:rsid w:val="00CF552E"/>
    <w:pPr>
      <w:tabs>
        <w:tab w:val="right" w:leader="dot" w:pos="8778"/>
      </w:tabs>
      <w:spacing w:before="240" w:after="120" w:line="240" w:lineRule="auto"/>
      <w:ind w:left="504" w:right="680" w:hanging="362"/>
    </w:pPr>
    <w:rPr>
      <w:rFonts w:cs="Calibri"/>
      <w:smallCaps/>
      <w:noProof/>
      <w:sz w:val="24"/>
      <w:szCs w:val="24"/>
      <w:lang w:val="en-GB"/>
    </w:rPr>
  </w:style>
  <w:style w:type="paragraph" w:styleId="Sommario2">
    <w:name w:val="toc 2"/>
    <w:basedOn w:val="Normale"/>
    <w:next w:val="Normale"/>
    <w:autoRedefine/>
    <w:uiPriority w:val="39"/>
    <w:unhideWhenUsed/>
    <w:rsid w:val="00542C1C"/>
    <w:pPr>
      <w:tabs>
        <w:tab w:val="right" w:leader="dot" w:pos="8778"/>
      </w:tabs>
      <w:spacing w:before="80" w:after="80" w:line="240" w:lineRule="auto"/>
      <w:ind w:left="567" w:right="567"/>
    </w:pPr>
    <w:rPr>
      <w:lang w:val="en-GB"/>
    </w:rPr>
  </w:style>
  <w:style w:type="paragraph" w:styleId="Sommario3">
    <w:name w:val="toc 3"/>
    <w:basedOn w:val="Normale"/>
    <w:next w:val="Normale"/>
    <w:autoRedefine/>
    <w:uiPriority w:val="39"/>
    <w:unhideWhenUsed/>
    <w:rsid w:val="00542C1C"/>
    <w:pPr>
      <w:tabs>
        <w:tab w:val="left" w:pos="851"/>
        <w:tab w:val="right" w:leader="dot" w:pos="8778"/>
      </w:tabs>
      <w:spacing w:after="0" w:line="240" w:lineRule="auto"/>
      <w:ind w:left="397" w:right="567"/>
    </w:pPr>
    <w:rPr>
      <w:lang w:val="en-GB"/>
    </w:rPr>
  </w:style>
  <w:style w:type="paragraph" w:styleId="Titolosommario">
    <w:name w:val="TOC Heading"/>
    <w:basedOn w:val="Titolo1"/>
    <w:next w:val="Normale"/>
    <w:uiPriority w:val="39"/>
    <w:unhideWhenUsed/>
    <w:qFormat/>
    <w:rsid w:val="00542C1C"/>
    <w:pPr>
      <w:outlineLvl w:val="9"/>
    </w:pPr>
  </w:style>
  <w:style w:type="paragraph" w:styleId="NormaleWeb">
    <w:name w:val="Normal (Web)"/>
    <w:basedOn w:val="Normale"/>
    <w:uiPriority w:val="99"/>
    <w:unhideWhenUsed/>
    <w:rsid w:val="00542C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
    <w:name w:val="Stile1"/>
    <w:basedOn w:val="Titolo3"/>
    <w:link w:val="Stile1Carattere"/>
    <w:qFormat/>
    <w:rsid w:val="00542C1C"/>
    <w:pPr>
      <w:numPr>
        <w:ilvl w:val="2"/>
        <w:numId w:val="1"/>
      </w:numPr>
      <w:ind w:left="1134"/>
    </w:pPr>
    <w:rPr>
      <w:rFonts w:cstheme="minorHAnsi"/>
      <w:i w:val="0"/>
    </w:rPr>
  </w:style>
  <w:style w:type="character" w:customStyle="1" w:styleId="Stile1Carattere">
    <w:name w:val="Stile1 Carattere"/>
    <w:basedOn w:val="Titolo3Carattere"/>
    <w:link w:val="Stile1"/>
    <w:rsid w:val="00542C1C"/>
    <w:rPr>
      <w:rFonts w:ascii="Calibri" w:eastAsiaTheme="majorEastAsia" w:hAnsi="Calibri" w:cstheme="minorHAnsi"/>
      <w:b/>
      <w:i w:val="0"/>
      <w:szCs w:val="24"/>
    </w:rPr>
  </w:style>
  <w:style w:type="character" w:customStyle="1" w:styleId="linkarticolo">
    <w:name w:val="linkarticolo"/>
    <w:basedOn w:val="Carpredefinitoparagrafo"/>
    <w:rsid w:val="00542C1C"/>
  </w:style>
  <w:style w:type="paragraph" w:customStyle="1" w:styleId="xmsonormal">
    <w:name w:val="x_msonormal"/>
    <w:basedOn w:val="Normale"/>
    <w:uiPriority w:val="99"/>
    <w:rsid w:val="00542C1C"/>
    <w:pPr>
      <w:spacing w:after="0" w:line="240" w:lineRule="auto"/>
    </w:pPr>
    <w:rPr>
      <w:rFonts w:ascii="Times New Roman" w:eastAsia="Calibri" w:hAnsi="Times New Roman" w:cs="Times New Roman"/>
      <w:sz w:val="24"/>
      <w:szCs w:val="24"/>
      <w:lang w:eastAsia="it-IT"/>
    </w:rPr>
  </w:style>
  <w:style w:type="paragraph" w:customStyle="1" w:styleId="xmsolistparagraph">
    <w:name w:val="x_msolistparagraph"/>
    <w:basedOn w:val="Normale"/>
    <w:uiPriority w:val="99"/>
    <w:rsid w:val="00542C1C"/>
    <w:pPr>
      <w:spacing w:after="0" w:line="240" w:lineRule="auto"/>
    </w:pPr>
    <w:rPr>
      <w:rFonts w:ascii="Times New Roman" w:eastAsia="Calibri"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542C1C"/>
  </w:style>
  <w:style w:type="paragraph" w:customStyle="1" w:styleId="Default">
    <w:name w:val="Default"/>
    <w:rsid w:val="00542C1C"/>
    <w:pPr>
      <w:autoSpaceDE w:val="0"/>
      <w:autoSpaceDN w:val="0"/>
      <w:adjustRightInd w:val="0"/>
      <w:spacing w:after="0" w:line="240" w:lineRule="auto"/>
    </w:pPr>
    <w:rPr>
      <w:rFonts w:ascii="Calibri" w:hAnsi="Calibri" w:cs="Calibri"/>
      <w:color w:val="000000"/>
      <w:sz w:val="24"/>
      <w:szCs w:val="24"/>
    </w:rPr>
  </w:style>
  <w:style w:type="table" w:customStyle="1" w:styleId="Tabellasemplice-11">
    <w:name w:val="Tabella semplice - 11"/>
    <w:basedOn w:val="Tabellanormale"/>
    <w:uiPriority w:val="41"/>
    <w:rsid w:val="00542C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tatoHTML">
    <w:name w:val="HTML Preformatted"/>
    <w:basedOn w:val="Normale"/>
    <w:link w:val="PreformattatoHTMLCarattere"/>
    <w:uiPriority w:val="99"/>
    <w:unhideWhenUsed/>
    <w:rsid w:val="00542C1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42C1C"/>
    <w:rPr>
      <w:rFonts w:ascii="Consolas" w:hAnsi="Consolas"/>
      <w:sz w:val="20"/>
      <w:szCs w:val="20"/>
    </w:rPr>
  </w:style>
  <w:style w:type="character" w:styleId="Rimandocommento">
    <w:name w:val="annotation reference"/>
    <w:basedOn w:val="Carpredefinitoparagrafo"/>
    <w:semiHidden/>
    <w:unhideWhenUsed/>
    <w:rsid w:val="00542C1C"/>
    <w:rPr>
      <w:sz w:val="16"/>
      <w:szCs w:val="16"/>
    </w:rPr>
  </w:style>
  <w:style w:type="paragraph" w:styleId="Testocommento">
    <w:name w:val="annotation text"/>
    <w:basedOn w:val="Normale"/>
    <w:link w:val="TestocommentoCarattere"/>
    <w:semiHidden/>
    <w:unhideWhenUsed/>
    <w:rsid w:val="00542C1C"/>
    <w:pPr>
      <w:spacing w:line="240" w:lineRule="auto"/>
    </w:pPr>
    <w:rPr>
      <w:sz w:val="20"/>
      <w:szCs w:val="20"/>
    </w:rPr>
  </w:style>
  <w:style w:type="character" w:customStyle="1" w:styleId="TestocommentoCarattere">
    <w:name w:val="Testo commento Carattere"/>
    <w:basedOn w:val="Carpredefinitoparagrafo"/>
    <w:link w:val="Testocommento"/>
    <w:semiHidden/>
    <w:rsid w:val="00542C1C"/>
    <w:rPr>
      <w:sz w:val="20"/>
      <w:szCs w:val="20"/>
    </w:rPr>
  </w:style>
  <w:style w:type="character" w:customStyle="1" w:styleId="Menzionenonrisolta1">
    <w:name w:val="Menzione non risolta1"/>
    <w:basedOn w:val="Carpredefinitoparagrafo"/>
    <w:uiPriority w:val="99"/>
    <w:semiHidden/>
    <w:unhideWhenUsed/>
    <w:rsid w:val="00542C1C"/>
    <w:rPr>
      <w:color w:val="605E5C"/>
      <w:shd w:val="clear" w:color="auto" w:fill="E1DFDD"/>
    </w:rPr>
  </w:style>
  <w:style w:type="table" w:customStyle="1" w:styleId="Tabellasemplice-21">
    <w:name w:val="Tabella semplice - 21"/>
    <w:basedOn w:val="Tabellanormale"/>
    <w:uiPriority w:val="42"/>
    <w:rsid w:val="00542C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oggettocommento">
    <w:name w:val="annotation subject"/>
    <w:basedOn w:val="Testocommento"/>
    <w:next w:val="Testocommento"/>
    <w:link w:val="SoggettocommentoCarattere"/>
    <w:uiPriority w:val="99"/>
    <w:semiHidden/>
    <w:unhideWhenUsed/>
    <w:rsid w:val="00542C1C"/>
    <w:rPr>
      <w:b/>
      <w:bCs/>
    </w:rPr>
  </w:style>
  <w:style w:type="character" w:customStyle="1" w:styleId="SoggettocommentoCarattere">
    <w:name w:val="Soggetto commento Carattere"/>
    <w:basedOn w:val="TestocommentoCarattere"/>
    <w:link w:val="Soggettocommento"/>
    <w:uiPriority w:val="99"/>
    <w:semiHidden/>
    <w:rsid w:val="00542C1C"/>
    <w:rPr>
      <w:b/>
      <w:bCs/>
      <w:sz w:val="20"/>
      <w:szCs w:val="20"/>
    </w:rPr>
  </w:style>
  <w:style w:type="character" w:customStyle="1" w:styleId="sr-only">
    <w:name w:val="sr-only"/>
    <w:basedOn w:val="Carpredefinitoparagrafo"/>
    <w:rsid w:val="00542C1C"/>
  </w:style>
  <w:style w:type="table" w:customStyle="1" w:styleId="TableNormal">
    <w:name w:val="Table Normal"/>
    <w:rsid w:val="00542C1C"/>
    <w:pPr>
      <w:spacing w:after="0" w:line="240" w:lineRule="auto"/>
    </w:pPr>
    <w:rPr>
      <w:rFonts w:ascii="Times New Roman" w:eastAsia="Arial Unicode MS" w:hAnsi="Times New Roman" w:cs="Times New Roman"/>
      <w:sz w:val="20"/>
      <w:szCs w:val="20"/>
      <w:bdr w:val="none" w:sz="0" w:space="0" w:color="auto" w:frame="1"/>
      <w:lang w:eastAsia="it-IT"/>
    </w:rPr>
    <w:tblPr>
      <w:tblCellMar>
        <w:top w:w="0" w:type="dxa"/>
        <w:left w:w="0" w:type="dxa"/>
        <w:bottom w:w="0" w:type="dxa"/>
        <w:right w:w="0" w:type="dxa"/>
      </w:tblCellMar>
    </w:tblPr>
  </w:style>
  <w:style w:type="paragraph" w:styleId="Sommario4">
    <w:name w:val="toc 4"/>
    <w:basedOn w:val="Normale"/>
    <w:next w:val="Normale"/>
    <w:autoRedefine/>
    <w:uiPriority w:val="39"/>
    <w:unhideWhenUsed/>
    <w:rsid w:val="00542C1C"/>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542C1C"/>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542C1C"/>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542C1C"/>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542C1C"/>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542C1C"/>
    <w:pPr>
      <w:spacing w:after="100" w:line="259" w:lineRule="auto"/>
      <w:ind w:left="1760"/>
    </w:pPr>
    <w:rPr>
      <w:rFonts w:eastAsiaTheme="minorEastAsia"/>
      <w:lang w:eastAsia="it-IT"/>
    </w:rPr>
  </w:style>
  <w:style w:type="character" w:customStyle="1" w:styleId="Menzionenonrisolta2">
    <w:name w:val="Menzione non risolta2"/>
    <w:basedOn w:val="Carpredefinitoparagrafo"/>
    <w:uiPriority w:val="99"/>
    <w:semiHidden/>
    <w:unhideWhenUsed/>
    <w:rsid w:val="00542C1C"/>
    <w:rPr>
      <w:color w:val="605E5C"/>
      <w:shd w:val="clear" w:color="auto" w:fill="E1DFDD"/>
    </w:rPr>
  </w:style>
  <w:style w:type="character" w:customStyle="1" w:styleId="Menzionenonrisolta3">
    <w:name w:val="Menzione non risolta3"/>
    <w:basedOn w:val="Carpredefinitoparagrafo"/>
    <w:uiPriority w:val="99"/>
    <w:semiHidden/>
    <w:unhideWhenUsed/>
    <w:rsid w:val="00646B3F"/>
    <w:rPr>
      <w:color w:val="605E5C"/>
      <w:shd w:val="clear" w:color="auto" w:fill="E1DFDD"/>
    </w:rPr>
  </w:style>
  <w:style w:type="character" w:customStyle="1" w:styleId="Caratteredellanota">
    <w:name w:val="Carattere della nota"/>
    <w:rsid w:val="00B23131"/>
  </w:style>
  <w:style w:type="numbering" w:customStyle="1" w:styleId="Nessunelenco1">
    <w:name w:val="Nessun elenco1"/>
    <w:next w:val="Nessunelenco"/>
    <w:uiPriority w:val="99"/>
    <w:semiHidden/>
    <w:unhideWhenUsed/>
    <w:rsid w:val="000F01BC"/>
  </w:style>
  <w:style w:type="table" w:customStyle="1" w:styleId="Grigliatabella1">
    <w:name w:val="Griglia tabella1"/>
    <w:basedOn w:val="Tabellanormale"/>
    <w:next w:val="Grigliatabella"/>
    <w:uiPriority w:val="59"/>
    <w:rsid w:val="000F01B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link w:val="CorpodeltestoCarattere"/>
    <w:uiPriority w:val="99"/>
    <w:rsid w:val="000F01BC"/>
    <w:pPr>
      <w:widowControl w:val="0"/>
      <w:overflowPunct w:val="0"/>
      <w:autoSpaceDE w:val="0"/>
      <w:autoSpaceDN w:val="0"/>
      <w:adjustRightInd w:val="0"/>
      <w:spacing w:after="120" w:line="240" w:lineRule="auto"/>
      <w:jc w:val="both"/>
    </w:pPr>
    <w:rPr>
      <w:rFonts w:ascii="Arial" w:eastAsia="Times New Roman" w:hAnsi="Arial" w:cs="Times New Roman"/>
      <w:kern w:val="28"/>
      <w:sz w:val="24"/>
      <w:szCs w:val="20"/>
      <w:lang w:eastAsia="it-IT"/>
    </w:rPr>
  </w:style>
  <w:style w:type="character" w:customStyle="1" w:styleId="CorpodeltestoCarattere">
    <w:name w:val="Corpo del testo Carattere"/>
    <w:link w:val="a"/>
    <w:uiPriority w:val="99"/>
    <w:rsid w:val="000F01BC"/>
    <w:rPr>
      <w:rFonts w:ascii="Arial" w:eastAsia="Times New Roman" w:hAnsi="Arial" w:cs="Times New Roman"/>
      <w:kern w:val="28"/>
      <w:sz w:val="24"/>
      <w:szCs w:val="20"/>
      <w:lang w:eastAsia="it-IT"/>
    </w:rPr>
  </w:style>
  <w:style w:type="paragraph" w:customStyle="1" w:styleId="Corpodeltesto21">
    <w:name w:val="Corpo del testo 21"/>
    <w:basedOn w:val="Normale"/>
    <w:uiPriority w:val="99"/>
    <w:rsid w:val="000F01BC"/>
    <w:pPr>
      <w:widowControl w:val="0"/>
      <w:overflowPunct w:val="0"/>
      <w:autoSpaceDE w:val="0"/>
      <w:autoSpaceDN w:val="0"/>
      <w:adjustRightInd w:val="0"/>
      <w:spacing w:after="120" w:line="240" w:lineRule="auto"/>
      <w:jc w:val="both"/>
    </w:pPr>
    <w:rPr>
      <w:rFonts w:ascii="Arial" w:eastAsia="Times New Roman" w:hAnsi="Arial" w:cs="Times New Roman"/>
      <w:b/>
      <w:i/>
      <w:sz w:val="24"/>
      <w:szCs w:val="20"/>
      <w:lang w:eastAsia="it-IT"/>
    </w:rPr>
  </w:style>
  <w:style w:type="paragraph" w:customStyle="1" w:styleId="provvr0">
    <w:name w:val="provv_r0"/>
    <w:basedOn w:val="Normale"/>
    <w:rsid w:val="000F01B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0F01BC"/>
    <w:pPr>
      <w:spacing w:after="120"/>
    </w:pPr>
  </w:style>
  <w:style w:type="character" w:customStyle="1" w:styleId="CorpotestoCarattere">
    <w:name w:val="Corpo testo Carattere"/>
    <w:basedOn w:val="Carpredefinitoparagrafo"/>
    <w:link w:val="Corpotesto"/>
    <w:uiPriority w:val="99"/>
    <w:semiHidden/>
    <w:rsid w:val="000F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97AF-17C3-41B8-B71A-6572F2E9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1825</Words>
  <Characters>10407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Sergio D'Elia</cp:lastModifiedBy>
  <cp:revision>14</cp:revision>
  <cp:lastPrinted>2022-10-26T10:51:00Z</cp:lastPrinted>
  <dcterms:created xsi:type="dcterms:W3CDTF">2022-11-19T20:43:00Z</dcterms:created>
  <dcterms:modified xsi:type="dcterms:W3CDTF">2022-12-02T10:41:00Z</dcterms:modified>
</cp:coreProperties>
</file>