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E3C0E45" w14:textId="77777777" w:rsidR="00F45AB1" w:rsidRDefault="00FC1A27" w:rsidP="0030210A">
      <w:pPr>
        <w:pStyle w:val="linkcontenuti"/>
        <w:numPr>
          <w:ilvl w:val="0"/>
          <w:numId w:val="0"/>
        </w:numPr>
        <w:ind w:firstLine="360"/>
        <w:rPr>
          <w:i/>
          <w:sz w:val="22"/>
          <w:szCs w:val="22"/>
        </w:rPr>
      </w:pPr>
      <w:r>
        <w:rPr>
          <w:noProof/>
          <w:lang w:eastAsia="it-IT"/>
        </w:rPr>
        <w:drawing>
          <wp:inline distT="0" distB="0" distL="0" distR="0" wp14:anchorId="421D040D" wp14:editId="6E313BC4">
            <wp:extent cx="2628900" cy="6000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20" t="-87" r="-20" b="-87"/>
                    <a:stretch>
                      <a:fillRect/>
                    </a:stretch>
                  </pic:blipFill>
                  <pic:spPr bwMode="auto">
                    <a:xfrm>
                      <a:off x="0" y="0"/>
                      <a:ext cx="2628900" cy="600075"/>
                    </a:xfrm>
                    <a:prstGeom prst="rect">
                      <a:avLst/>
                    </a:prstGeom>
                    <a:solidFill>
                      <a:srgbClr val="FFFFFF">
                        <a:alpha val="0"/>
                      </a:srgbClr>
                    </a:solidFill>
                    <a:ln>
                      <a:noFill/>
                    </a:ln>
                  </pic:spPr>
                </pic:pic>
              </a:graphicData>
            </a:graphic>
          </wp:inline>
        </w:drawing>
      </w:r>
    </w:p>
    <w:p w14:paraId="10FC5C7D" w14:textId="77777777" w:rsidR="00F45AB1" w:rsidRDefault="00F45AB1">
      <w:pPr>
        <w:numPr>
          <w:ilvl w:val="0"/>
          <w:numId w:val="0"/>
        </w:numPr>
      </w:pPr>
      <w:r>
        <w:rPr>
          <w:i/>
          <w:sz w:val="22"/>
          <w:szCs w:val="22"/>
        </w:rPr>
        <w:t xml:space="preserve">  </w:t>
      </w:r>
      <w:r>
        <w:rPr>
          <w:rFonts w:ascii="Century Gothic" w:hAnsi="Century Gothic" w:cs="Century Gothic"/>
          <w:i/>
          <w:sz w:val="22"/>
          <w:szCs w:val="22"/>
        </w:rPr>
        <w:t>Direzione Regionale della Lombardia</w:t>
      </w:r>
    </w:p>
    <w:p w14:paraId="3C74DEC8" w14:textId="77777777" w:rsidR="00F45AB1" w:rsidRDefault="00F45AB1">
      <w:pPr>
        <w:numPr>
          <w:ilvl w:val="0"/>
          <w:numId w:val="0"/>
        </w:numPr>
        <w:ind w:left="360"/>
        <w:jc w:val="center"/>
        <w:rPr>
          <w:rFonts w:ascii="Century Gothic" w:hAnsi="Century Gothic" w:cs="Century Gothic"/>
          <w:b/>
          <w:bCs/>
          <w:i/>
          <w:sz w:val="22"/>
          <w:szCs w:val="22"/>
          <w:u w:val="single"/>
        </w:rPr>
      </w:pPr>
    </w:p>
    <w:p w14:paraId="6A938169" w14:textId="3BCBC0CF" w:rsidR="00F45AB1" w:rsidRDefault="00F45AB1">
      <w:pPr>
        <w:numPr>
          <w:ilvl w:val="0"/>
          <w:numId w:val="0"/>
        </w:numPr>
        <w:ind w:left="360"/>
        <w:jc w:val="center"/>
        <w:rPr>
          <w:b/>
          <w:bCs/>
          <w:u w:val="single"/>
        </w:rPr>
      </w:pPr>
      <w:r>
        <w:rPr>
          <w:b/>
          <w:bCs/>
          <w:u w:val="single"/>
        </w:rPr>
        <w:t xml:space="preserve">Verbale della riunione del </w:t>
      </w:r>
      <w:r w:rsidR="005E61BD">
        <w:rPr>
          <w:b/>
          <w:bCs/>
          <w:u w:val="single"/>
        </w:rPr>
        <w:t>18 febbraio</w:t>
      </w:r>
      <w:r w:rsidR="00DC484A">
        <w:rPr>
          <w:b/>
          <w:bCs/>
          <w:u w:val="single"/>
        </w:rPr>
        <w:t xml:space="preserve"> 2022</w:t>
      </w:r>
    </w:p>
    <w:p w14:paraId="37D8826B" w14:textId="6507F74E" w:rsidR="00F45AB1" w:rsidRDefault="00F45AB1" w:rsidP="0032216B">
      <w:pPr>
        <w:numPr>
          <w:ilvl w:val="0"/>
          <w:numId w:val="0"/>
        </w:numPr>
        <w:spacing w:line="240" w:lineRule="auto"/>
        <w:ind w:left="360"/>
      </w:pPr>
      <w:r>
        <w:t>Il</w:t>
      </w:r>
      <w:r w:rsidR="005E61BD">
        <w:t xml:space="preserve"> 18 febbraio</w:t>
      </w:r>
      <w:r w:rsidR="00DC484A">
        <w:t xml:space="preserve"> a</w:t>
      </w:r>
      <w:r>
        <w:t>lle ore 1</w:t>
      </w:r>
      <w:r w:rsidR="005E61BD">
        <w:t>1</w:t>
      </w:r>
      <w:r>
        <w:t xml:space="preserve">.30, come da protocollo d’intesa tra </w:t>
      </w:r>
      <w:r w:rsidR="00F12CE6">
        <w:t xml:space="preserve">la </w:t>
      </w:r>
      <w:r>
        <w:t>Direzione regionale della Lombardia dell’Agenzia delle Entrate e il CODIS (Coordinamento degli Ordini dei Dottori Commercialisti e degli Esperti Contabili della Lombardia), si è tenuto l’incontro con il “gruppo di lavoro” costituito per individuare soluzioni di carattere organizzativo e risolvere problematiche concernenti la corretta applicazione delle norme tributarie, tramite l’esame di casi complessi e di interesse diffuso.</w:t>
      </w:r>
    </w:p>
    <w:p w14:paraId="08102495" w14:textId="77777777" w:rsidR="00F45AB1" w:rsidRDefault="00F45AB1" w:rsidP="0032216B">
      <w:pPr>
        <w:numPr>
          <w:ilvl w:val="0"/>
          <w:numId w:val="0"/>
        </w:numPr>
        <w:spacing w:line="240" w:lineRule="auto"/>
        <w:ind w:left="360"/>
      </w:pPr>
      <w:r>
        <w:t>Sono presenti per il CODIS:</w:t>
      </w:r>
    </w:p>
    <w:p w14:paraId="6E581635" w14:textId="77777777" w:rsidR="00F45AB1" w:rsidRDefault="00F45AB1" w:rsidP="0032216B">
      <w:pPr>
        <w:numPr>
          <w:ilvl w:val="0"/>
          <w:numId w:val="5"/>
        </w:numPr>
        <w:spacing w:line="240" w:lineRule="auto"/>
      </w:pPr>
      <w:r>
        <w:t>GILBERTO GELOSA</w:t>
      </w:r>
    </w:p>
    <w:p w14:paraId="4458E44B" w14:textId="77777777" w:rsidR="00F45AB1" w:rsidRDefault="00F45AB1" w:rsidP="0032216B">
      <w:pPr>
        <w:numPr>
          <w:ilvl w:val="0"/>
          <w:numId w:val="5"/>
        </w:numPr>
        <w:spacing w:line="240" w:lineRule="auto"/>
      </w:pPr>
      <w:r>
        <w:t>SANDRO LITIGIO</w:t>
      </w:r>
    </w:p>
    <w:p w14:paraId="213AE099" w14:textId="77777777" w:rsidR="00FC1A27" w:rsidRDefault="00FC1A27" w:rsidP="0032216B">
      <w:pPr>
        <w:numPr>
          <w:ilvl w:val="0"/>
          <w:numId w:val="5"/>
        </w:numPr>
        <w:spacing w:line="240" w:lineRule="auto"/>
      </w:pPr>
      <w:r>
        <w:t>MARCO BARASSI</w:t>
      </w:r>
    </w:p>
    <w:p w14:paraId="6AC70EC4" w14:textId="33A3BD69" w:rsidR="00C71C23" w:rsidRDefault="00C71C23" w:rsidP="0032216B">
      <w:pPr>
        <w:numPr>
          <w:ilvl w:val="0"/>
          <w:numId w:val="5"/>
        </w:numPr>
        <w:spacing w:line="240" w:lineRule="auto"/>
      </w:pPr>
      <w:r>
        <w:t>GUIDO BELTRAME</w:t>
      </w:r>
    </w:p>
    <w:p w14:paraId="2BA63FF6" w14:textId="0AAF7DD6" w:rsidR="00C161B2" w:rsidRDefault="00C161B2" w:rsidP="0032216B">
      <w:pPr>
        <w:numPr>
          <w:ilvl w:val="0"/>
          <w:numId w:val="5"/>
        </w:numPr>
        <w:spacing w:line="240" w:lineRule="auto"/>
      </w:pPr>
      <w:r>
        <w:t>NICOLA FRANGI</w:t>
      </w:r>
    </w:p>
    <w:p w14:paraId="016326B9" w14:textId="77777777" w:rsidR="00F45AB1" w:rsidRDefault="00F45AB1" w:rsidP="0032216B">
      <w:pPr>
        <w:numPr>
          <w:ilvl w:val="0"/>
          <w:numId w:val="5"/>
        </w:numPr>
        <w:spacing w:line="240" w:lineRule="auto"/>
      </w:pPr>
      <w:r>
        <w:t>ANDREA SCAINI</w:t>
      </w:r>
    </w:p>
    <w:p w14:paraId="53D12DF2" w14:textId="77777777" w:rsidR="00F45AB1" w:rsidRDefault="00F45AB1" w:rsidP="0032216B">
      <w:pPr>
        <w:numPr>
          <w:ilvl w:val="0"/>
          <w:numId w:val="0"/>
        </w:numPr>
        <w:spacing w:line="240" w:lineRule="auto"/>
        <w:ind w:left="360"/>
      </w:pPr>
      <w:r>
        <w:t>Sono presenti per la Direzione regionale della Lombardia:</w:t>
      </w:r>
    </w:p>
    <w:p w14:paraId="1ADC733C" w14:textId="77777777" w:rsidR="00F45AB1" w:rsidRDefault="00F45AB1" w:rsidP="0032216B">
      <w:pPr>
        <w:numPr>
          <w:ilvl w:val="0"/>
          <w:numId w:val="6"/>
        </w:numPr>
        <w:spacing w:line="240" w:lineRule="auto"/>
      </w:pPr>
      <w:r>
        <w:t>ALFONSO ORABONA</w:t>
      </w:r>
    </w:p>
    <w:p w14:paraId="163D8D55" w14:textId="77777777" w:rsidR="00F45AB1" w:rsidRDefault="00F45AB1" w:rsidP="0032216B">
      <w:pPr>
        <w:numPr>
          <w:ilvl w:val="0"/>
          <w:numId w:val="6"/>
        </w:numPr>
        <w:spacing w:line="240" w:lineRule="auto"/>
      </w:pPr>
      <w:r>
        <w:t>PAOLA ALFIERI</w:t>
      </w:r>
    </w:p>
    <w:p w14:paraId="5263A2C3" w14:textId="367F9AE3" w:rsidR="00F45AB1" w:rsidRDefault="00F45AB1" w:rsidP="0032216B">
      <w:pPr>
        <w:numPr>
          <w:ilvl w:val="0"/>
          <w:numId w:val="6"/>
        </w:numPr>
        <w:spacing w:line="240" w:lineRule="auto"/>
      </w:pPr>
      <w:r>
        <w:t>CHRISTIAN AURICCHIO</w:t>
      </w:r>
    </w:p>
    <w:p w14:paraId="5865CDC1" w14:textId="662BA69D" w:rsidR="00C161B2" w:rsidRDefault="00C161B2" w:rsidP="0032216B">
      <w:pPr>
        <w:numPr>
          <w:ilvl w:val="0"/>
          <w:numId w:val="6"/>
        </w:numPr>
        <w:spacing w:line="240" w:lineRule="auto"/>
      </w:pPr>
      <w:r>
        <w:t>GIUSEPPE MALINCONICO</w:t>
      </w:r>
    </w:p>
    <w:p w14:paraId="5367E51C" w14:textId="77777777" w:rsidR="00BB35C0" w:rsidRDefault="00BB35C0" w:rsidP="0032216B">
      <w:pPr>
        <w:numPr>
          <w:ilvl w:val="0"/>
          <w:numId w:val="6"/>
        </w:numPr>
        <w:spacing w:line="240" w:lineRule="auto"/>
      </w:pPr>
      <w:r>
        <w:t>GIULIO SCUTIFERO</w:t>
      </w:r>
    </w:p>
    <w:p w14:paraId="53CD4DF2" w14:textId="21C624DF" w:rsidR="00F45AB1" w:rsidRDefault="00F45AB1" w:rsidP="0032216B">
      <w:pPr>
        <w:numPr>
          <w:ilvl w:val="0"/>
          <w:numId w:val="0"/>
        </w:numPr>
        <w:spacing w:line="240" w:lineRule="auto"/>
      </w:pPr>
      <w:r>
        <w:t>Sonia Ogliari svolge le funzioni di segretario.</w:t>
      </w:r>
    </w:p>
    <w:p w14:paraId="49815661" w14:textId="677FA823" w:rsidR="005E61BD" w:rsidRDefault="00ED10DF" w:rsidP="0032216B">
      <w:pPr>
        <w:numPr>
          <w:ilvl w:val="0"/>
          <w:numId w:val="0"/>
        </w:numPr>
        <w:spacing w:line="240" w:lineRule="auto"/>
      </w:pPr>
      <w:r>
        <w:t>In apertura dei lavori il dottor Orabona riprende i quesiti inviati dal dottor Litigio.</w:t>
      </w:r>
    </w:p>
    <w:p w14:paraId="36049F34" w14:textId="2D1D7BB5" w:rsidR="005E61BD" w:rsidRDefault="007D7EF5" w:rsidP="00ED10DF">
      <w:pPr>
        <w:pStyle w:val="Paragrafoelenco"/>
        <w:numPr>
          <w:ilvl w:val="0"/>
          <w:numId w:val="14"/>
        </w:numPr>
        <w:spacing w:line="240" w:lineRule="auto"/>
      </w:pPr>
      <w:r>
        <w:t xml:space="preserve">LE </w:t>
      </w:r>
      <w:r w:rsidR="005E61BD">
        <w:t>PROCEDURE CONCORSUALI E NOTE DI CREDITO</w:t>
      </w:r>
    </w:p>
    <w:p w14:paraId="6A5C54EC" w14:textId="34B034DF" w:rsidR="005E61BD" w:rsidRPr="00ED10DF" w:rsidRDefault="005E61BD" w:rsidP="005E61BD">
      <w:pPr>
        <w:numPr>
          <w:ilvl w:val="0"/>
          <w:numId w:val="0"/>
        </w:numPr>
        <w:spacing w:line="240" w:lineRule="auto"/>
        <w:rPr>
          <w:i/>
        </w:rPr>
      </w:pPr>
      <w:r w:rsidRPr="00ED10DF">
        <w:rPr>
          <w:i/>
        </w:rPr>
        <w:t>La nuova normativa in materia di facoltà di emissione delle note di credito in caso di procedure concorsuali iniziate dal 26 maggio 2021 presenta delle carenze e delle parziali omissioni riguardanti le nuove procedure previste dal Dl 118 del 2021 (concordato semplificato e composizione n</w:t>
      </w:r>
      <w:r w:rsidR="00240E9B">
        <w:rPr>
          <w:i/>
        </w:rPr>
        <w:t>egoziata della crisi di impresa</w:t>
      </w:r>
      <w:r w:rsidRPr="00ED10DF">
        <w:rPr>
          <w:i/>
        </w:rPr>
        <w:t>) che devono gioco forza essere integrate nella norma stessa.</w:t>
      </w:r>
    </w:p>
    <w:p w14:paraId="7332C310" w14:textId="77777777" w:rsidR="005E61BD" w:rsidRPr="00ED10DF" w:rsidRDefault="005E61BD" w:rsidP="005E61BD">
      <w:pPr>
        <w:numPr>
          <w:ilvl w:val="0"/>
          <w:numId w:val="0"/>
        </w:numPr>
        <w:spacing w:line="240" w:lineRule="auto"/>
        <w:rPr>
          <w:i/>
        </w:rPr>
      </w:pPr>
      <w:r w:rsidRPr="00ED10DF">
        <w:rPr>
          <w:i/>
        </w:rPr>
        <w:t>Inoltre, la Circolare 20 del 2021 interpretativa della novella legislativa ha sorprendentemente escluso dai soggetti non obbligati alla registrazione delle note di credito e al versamento della relativa imposta gli accordi di cui agli artt. 182 bis e segg. LF in quanto dichiarate “procedure non concorsuali”.</w:t>
      </w:r>
    </w:p>
    <w:p w14:paraId="7D723B23" w14:textId="77777777" w:rsidR="005E61BD" w:rsidRPr="00ED10DF" w:rsidRDefault="005E61BD" w:rsidP="005E61BD">
      <w:pPr>
        <w:numPr>
          <w:ilvl w:val="0"/>
          <w:numId w:val="0"/>
        </w:numPr>
        <w:spacing w:line="240" w:lineRule="auto"/>
        <w:rPr>
          <w:i/>
        </w:rPr>
      </w:pPr>
      <w:r w:rsidRPr="00ED10DF">
        <w:rPr>
          <w:i/>
        </w:rPr>
        <w:t xml:space="preserve">Si segnala che tale presa di posizione trova piena smentita nella ormai costante giurisprudenza di Cassazione che ha definito come “concorsuale” l’accordo di ristrutturazione dei debiti ex art. 182 bis LF; inoltre la Circolare 20 non è chiara nello </w:t>
      </w:r>
      <w:r w:rsidRPr="00ED10DF">
        <w:rPr>
          <w:i/>
        </w:rPr>
        <w:lastRenderedPageBreak/>
        <w:t>stabilire che, anche per le vecchie procedure, la detrazione dell’imposta mediante nota di credito non è subordinata alla preventiva insinuazione del creditore emittente.</w:t>
      </w:r>
    </w:p>
    <w:p w14:paraId="2253B783" w14:textId="5B98A7A2" w:rsidR="005E61BD" w:rsidRPr="00370E5C" w:rsidRDefault="00C161B2" w:rsidP="005E61BD">
      <w:pPr>
        <w:numPr>
          <w:ilvl w:val="0"/>
          <w:numId w:val="0"/>
        </w:numPr>
        <w:spacing w:line="240" w:lineRule="auto"/>
      </w:pPr>
      <w:r w:rsidRPr="00370E5C">
        <w:t>Alfieri</w:t>
      </w:r>
      <w:r w:rsidR="00ED10DF" w:rsidRPr="00370E5C">
        <w:t>, rispetto alla prima parte,</w:t>
      </w:r>
      <w:r w:rsidRPr="00370E5C">
        <w:t xml:space="preserve"> interviene </w:t>
      </w:r>
      <w:r w:rsidR="008C7649" w:rsidRPr="00370E5C">
        <w:t xml:space="preserve">confermando che la circolare </w:t>
      </w:r>
      <w:r w:rsidRPr="00370E5C">
        <w:t xml:space="preserve">non </w:t>
      </w:r>
      <w:r w:rsidR="008C7649" w:rsidRPr="00370E5C">
        <w:t>menziona tra le varie procedure il concordato semplificato e la composizione negoziata della crisi di impresa; trattandosi di una circolare recente, pubblicata il 29 dicembre 202</w:t>
      </w:r>
      <w:r w:rsidRPr="00370E5C">
        <w:t xml:space="preserve">1, </w:t>
      </w:r>
      <w:r w:rsidR="008C7649" w:rsidRPr="00370E5C">
        <w:t>non risultano ancora presentati interpelli o consulenze giuridiche relativamente alla possibilità di estendere i chiarimenti contenuti nella circolare anche a tali procedure.</w:t>
      </w:r>
    </w:p>
    <w:p w14:paraId="3F327377" w14:textId="6A1A8183" w:rsidR="00015374" w:rsidRPr="00370E5C" w:rsidRDefault="00015374" w:rsidP="005E61BD">
      <w:pPr>
        <w:numPr>
          <w:ilvl w:val="0"/>
          <w:numId w:val="0"/>
        </w:numPr>
        <w:spacing w:line="240" w:lineRule="auto"/>
      </w:pPr>
      <w:r w:rsidRPr="00370E5C">
        <w:t xml:space="preserve">Litigio chiede se è possibile fare una segnalazione a Roma in merito alle procedure su cui la circolare non si è espressa. </w:t>
      </w:r>
      <w:proofErr w:type="spellStart"/>
      <w:r w:rsidRPr="00370E5C">
        <w:t>Scutifero</w:t>
      </w:r>
      <w:proofErr w:type="spellEnd"/>
      <w:r w:rsidRPr="00370E5C">
        <w:t xml:space="preserve"> informa che è possibile segnalare al centro le perplessità manifestate dal </w:t>
      </w:r>
      <w:proofErr w:type="spellStart"/>
      <w:r w:rsidRPr="00370E5C">
        <w:t>Codis</w:t>
      </w:r>
      <w:proofErr w:type="spellEnd"/>
      <w:r w:rsidRPr="00370E5C">
        <w:t>. Chiede anche se Gelosa possa segnalarlo al centro. Gelosa chiede alla Dr se c’è l’accordo a porre la questione anche al centro attraverso la divisione contribuenti. I rappresentanti Agenzia confermano.</w:t>
      </w:r>
    </w:p>
    <w:p w14:paraId="52F186F5" w14:textId="3A80F25A" w:rsidR="00015374" w:rsidRDefault="00015374" w:rsidP="005E61BD">
      <w:pPr>
        <w:numPr>
          <w:ilvl w:val="0"/>
          <w:numId w:val="0"/>
        </w:numPr>
        <w:spacing w:line="240" w:lineRule="auto"/>
      </w:pPr>
      <w:r w:rsidRPr="00370E5C">
        <w:t xml:space="preserve">In riferimento alla seconda parte del quesito, relativo all’obbligo di registrazione della nota di variazione negli accordi di ristrutturazione del debito, Alfieri precisa che la circolare ha preso una posizione </w:t>
      </w:r>
      <w:r w:rsidR="007D1422" w:rsidRPr="00370E5C">
        <w:t>chiara</w:t>
      </w:r>
      <w:r w:rsidRPr="00370E5C">
        <w:t xml:space="preserve"> ritenendo che tali accordi non s</w:t>
      </w:r>
      <w:r w:rsidR="007D1422" w:rsidRPr="00370E5C">
        <w:t>iano</w:t>
      </w:r>
      <w:r w:rsidRPr="00370E5C">
        <w:t xml:space="preserve"> qualificabili come procedure concorsuali in senso stretto.</w:t>
      </w:r>
    </w:p>
    <w:p w14:paraId="110C459B" w14:textId="77777777" w:rsidR="007D1422" w:rsidRDefault="00015374" w:rsidP="007D1422">
      <w:pPr>
        <w:numPr>
          <w:ilvl w:val="0"/>
          <w:numId w:val="0"/>
        </w:numPr>
        <w:spacing w:line="240" w:lineRule="auto"/>
      </w:pPr>
      <w:r>
        <w:t xml:space="preserve"> </w:t>
      </w:r>
    </w:p>
    <w:p w14:paraId="00B3D191" w14:textId="2FB98D47" w:rsidR="005E61BD" w:rsidRDefault="007D7EF5" w:rsidP="00240E9B">
      <w:pPr>
        <w:pStyle w:val="Paragrafoelenco"/>
        <w:numPr>
          <w:ilvl w:val="0"/>
          <w:numId w:val="14"/>
        </w:numPr>
        <w:spacing w:line="240" w:lineRule="auto"/>
      </w:pPr>
      <w:r>
        <w:t>L’</w:t>
      </w:r>
      <w:r w:rsidR="005E61BD">
        <w:t>IPERAMMORTAMENTO</w:t>
      </w:r>
    </w:p>
    <w:p w14:paraId="0D7B6B44" w14:textId="09DC2650" w:rsidR="005E61BD" w:rsidRPr="0008482B" w:rsidRDefault="005E61BD" w:rsidP="005E61BD">
      <w:pPr>
        <w:numPr>
          <w:ilvl w:val="0"/>
          <w:numId w:val="0"/>
        </w:numPr>
        <w:spacing w:line="240" w:lineRule="auto"/>
        <w:rPr>
          <w:i/>
        </w:rPr>
      </w:pPr>
      <w:r w:rsidRPr="0008482B">
        <w:rPr>
          <w:i/>
        </w:rPr>
        <w:t>A seguito di quanto chiarito nell’interpello 71/2022 in merito alla ritardata interconnessione ci</w:t>
      </w:r>
      <w:r w:rsidR="007D1422">
        <w:rPr>
          <w:i/>
        </w:rPr>
        <w:t xml:space="preserve"> si chiede che cosa si intenda </w:t>
      </w:r>
      <w:r w:rsidRPr="0008482B">
        <w:rPr>
          <w:i/>
        </w:rPr>
        <w:t xml:space="preserve">con “la tardiva interconnessione deve dipendere da condizioni oggettive e non da comportamenti discrezionali e strumentali del contribuente”. </w:t>
      </w:r>
    </w:p>
    <w:p w14:paraId="52CEBD09" w14:textId="77777777" w:rsidR="005E61BD" w:rsidRPr="0008482B" w:rsidRDefault="005E61BD" w:rsidP="005E61BD">
      <w:pPr>
        <w:numPr>
          <w:ilvl w:val="0"/>
          <w:numId w:val="0"/>
        </w:numPr>
        <w:spacing w:line="240" w:lineRule="auto"/>
        <w:rPr>
          <w:i/>
        </w:rPr>
      </w:pPr>
      <w:r w:rsidRPr="0008482B">
        <w:rPr>
          <w:i/>
        </w:rPr>
        <w:t>Sul presupposto che le caratteristiche tecniche richieste dalla disciplina dell’</w:t>
      </w:r>
      <w:proofErr w:type="spellStart"/>
      <w:r w:rsidRPr="0008482B">
        <w:rPr>
          <w:i/>
        </w:rPr>
        <w:t>iperammortamento</w:t>
      </w:r>
      <w:proofErr w:type="spellEnd"/>
      <w:r w:rsidRPr="0008482B">
        <w:rPr>
          <w:i/>
        </w:rPr>
        <w:t xml:space="preserve"> siano presenti nel bene anteriormente alla sua messa in funzione, la tardiva interconnessione deve dipendere esclusivamente dai tempi necessari per l’adeguamento dell’infrastruttura informatica dell’azienda?</w:t>
      </w:r>
    </w:p>
    <w:p w14:paraId="6036E37D" w14:textId="77777777" w:rsidR="005E61BD" w:rsidRPr="0008482B" w:rsidRDefault="005E61BD" w:rsidP="005E61BD">
      <w:pPr>
        <w:numPr>
          <w:ilvl w:val="0"/>
          <w:numId w:val="0"/>
        </w:numPr>
        <w:spacing w:line="240" w:lineRule="auto"/>
        <w:rPr>
          <w:i/>
        </w:rPr>
      </w:pPr>
      <w:r w:rsidRPr="0008482B">
        <w:rPr>
          <w:i/>
        </w:rPr>
        <w:t>L’imprenditore può decidere di interconnettere il bene in un momento successivo rispetto all’entrata in funzione, in altri termini può utilizzare il bene per qualche anno senza interconnessione e solo successivamente adegua la sua infrastruttura informatica e procede all’interconnessione?</w:t>
      </w:r>
    </w:p>
    <w:p w14:paraId="34C21312" w14:textId="134BEE7A" w:rsidR="005E61BD" w:rsidRPr="00370E5C" w:rsidRDefault="0008482B" w:rsidP="005E61BD">
      <w:pPr>
        <w:numPr>
          <w:ilvl w:val="0"/>
          <w:numId w:val="0"/>
        </w:numPr>
        <w:spacing w:line="240" w:lineRule="auto"/>
      </w:pPr>
      <w:r w:rsidRPr="00370E5C">
        <w:t>Su questo quesito Litigio chiede quale s</w:t>
      </w:r>
      <w:r w:rsidR="007D7EF5" w:rsidRPr="00370E5C">
        <w:t>i</w:t>
      </w:r>
      <w:r w:rsidRPr="00370E5C">
        <w:t xml:space="preserve">a il confine della discrezionalità sul concetto di interconnessione dei beni </w:t>
      </w:r>
      <w:r w:rsidR="007D7EF5" w:rsidRPr="00370E5C">
        <w:t>che risulta</w:t>
      </w:r>
      <w:r w:rsidR="007D1422" w:rsidRPr="00370E5C">
        <w:t xml:space="preserve"> generico.</w:t>
      </w:r>
    </w:p>
    <w:p w14:paraId="4617A5D3" w14:textId="4DACF4E2" w:rsidR="00DA733A" w:rsidRPr="00370E5C" w:rsidRDefault="0008482B" w:rsidP="005E61BD">
      <w:pPr>
        <w:numPr>
          <w:ilvl w:val="0"/>
          <w:numId w:val="0"/>
        </w:numPr>
        <w:spacing w:line="240" w:lineRule="auto"/>
      </w:pPr>
      <w:r w:rsidRPr="00370E5C">
        <w:t>Alfieri interviene precisando che la risposta 71</w:t>
      </w:r>
      <w:r w:rsidR="007D1422" w:rsidRPr="00370E5C">
        <w:t xml:space="preserve"> del 2022</w:t>
      </w:r>
      <w:r w:rsidRPr="00370E5C">
        <w:t xml:space="preserve"> afferma che la tardiva</w:t>
      </w:r>
      <w:r w:rsidR="007D7EF5" w:rsidRPr="00370E5C">
        <w:t xml:space="preserve"> interconnessione</w:t>
      </w:r>
      <w:r w:rsidRPr="00370E5C">
        <w:t xml:space="preserve"> deve dipendere da circostanze oggettive</w:t>
      </w:r>
      <w:r w:rsidR="007D7EF5" w:rsidRPr="00370E5C">
        <w:t xml:space="preserve"> </w:t>
      </w:r>
      <w:r w:rsidR="007D1422" w:rsidRPr="00370E5C">
        <w:t xml:space="preserve">che devono essere documentate e dimostrate dall’impresa </w:t>
      </w:r>
      <w:r w:rsidR="007D7EF5" w:rsidRPr="00370E5C">
        <w:t>e</w:t>
      </w:r>
      <w:r w:rsidRPr="00370E5C">
        <w:rPr>
          <w:i/>
        </w:rPr>
        <w:t xml:space="preserve"> </w:t>
      </w:r>
      <w:r w:rsidRPr="00370E5C">
        <w:t xml:space="preserve">non da comportamenti discrezionali e strumentali del contribuente. Questo concetto era </w:t>
      </w:r>
      <w:r w:rsidR="007D1422" w:rsidRPr="00370E5C">
        <w:t xml:space="preserve">già </w:t>
      </w:r>
      <w:r w:rsidRPr="00370E5C">
        <w:t xml:space="preserve">stato espresso </w:t>
      </w:r>
      <w:r w:rsidR="007D1422" w:rsidRPr="00370E5C">
        <w:t>n</w:t>
      </w:r>
      <w:r w:rsidRPr="00370E5C">
        <w:t xml:space="preserve">ella </w:t>
      </w:r>
      <w:r w:rsidR="007D1422" w:rsidRPr="00370E5C">
        <w:t xml:space="preserve">risposta </w:t>
      </w:r>
      <w:r w:rsidRPr="00370E5C">
        <w:t>394</w:t>
      </w:r>
      <w:r w:rsidR="007D1422" w:rsidRPr="00370E5C">
        <w:t xml:space="preserve"> del 2021, nella quale, sulla b</w:t>
      </w:r>
      <w:r w:rsidRPr="00370E5C">
        <w:t xml:space="preserve">ase di un parere </w:t>
      </w:r>
      <w:r w:rsidR="007D1422" w:rsidRPr="00370E5C">
        <w:t>reso d</w:t>
      </w:r>
      <w:r w:rsidR="00DA733A" w:rsidRPr="00370E5C">
        <w:t xml:space="preserve">al MISE, viene affermata la possibilità di una </w:t>
      </w:r>
      <w:r w:rsidR="007D1422" w:rsidRPr="00370E5C">
        <w:t xml:space="preserve">interconnessione tardiva, </w:t>
      </w:r>
      <w:r w:rsidR="00DA733A" w:rsidRPr="00370E5C">
        <w:t>ossia in un momen</w:t>
      </w:r>
      <w:r w:rsidR="007D1422" w:rsidRPr="00370E5C">
        <w:t xml:space="preserve">to successivo a quello di effettuazione dell’investimento </w:t>
      </w:r>
      <w:r w:rsidR="00DA733A" w:rsidRPr="00370E5C">
        <w:t>e messa in funzione del bene, dovuta alla necessità di completare l’infrastruttura informatica indispensabile a interconnettere il bene. Resta fermo che i beni, fin dal loro primo utilizzo, devono possedere le caratteristiche 4.0.</w:t>
      </w:r>
    </w:p>
    <w:p w14:paraId="17E1FC88" w14:textId="5CC7A592" w:rsidR="0008482B" w:rsidRPr="0008482B" w:rsidRDefault="0008482B" w:rsidP="00055207">
      <w:pPr>
        <w:numPr>
          <w:ilvl w:val="0"/>
          <w:numId w:val="0"/>
        </w:numPr>
        <w:spacing w:line="240" w:lineRule="auto"/>
      </w:pPr>
      <w:r w:rsidRPr="00370E5C">
        <w:t xml:space="preserve">Per cui </w:t>
      </w:r>
      <w:r w:rsidR="00DA733A" w:rsidRPr="00370E5C">
        <w:t xml:space="preserve">si </w:t>
      </w:r>
      <w:r w:rsidRPr="00370E5C">
        <w:t>rit</w:t>
      </w:r>
      <w:r w:rsidR="007D7EF5" w:rsidRPr="00370E5C">
        <w:t xml:space="preserve">iene </w:t>
      </w:r>
      <w:r w:rsidRPr="00370E5C">
        <w:t>che</w:t>
      </w:r>
      <w:r w:rsidR="00DA733A" w:rsidRPr="00370E5C">
        <w:t xml:space="preserve"> l’interconnessione tardiva</w:t>
      </w:r>
      <w:r w:rsidRPr="00370E5C">
        <w:t xml:space="preserve"> </w:t>
      </w:r>
      <w:r w:rsidR="00DA733A" w:rsidRPr="00370E5C">
        <w:t xml:space="preserve">non </w:t>
      </w:r>
      <w:r w:rsidRPr="00370E5C">
        <w:t xml:space="preserve">sia </w:t>
      </w:r>
      <w:r w:rsidR="00DA733A" w:rsidRPr="00370E5C">
        <w:t>possibile sulla base di scelte discrezionali dell’imprenditore.</w:t>
      </w:r>
      <w:r w:rsidR="00055207">
        <w:t xml:space="preserve"> </w:t>
      </w:r>
    </w:p>
    <w:p w14:paraId="02B379E4" w14:textId="77777777" w:rsidR="0008482B" w:rsidRDefault="0008482B" w:rsidP="005E61BD">
      <w:pPr>
        <w:numPr>
          <w:ilvl w:val="0"/>
          <w:numId w:val="0"/>
        </w:numPr>
        <w:spacing w:line="240" w:lineRule="auto"/>
      </w:pPr>
    </w:p>
    <w:p w14:paraId="135D9CF7" w14:textId="1621A5FD" w:rsidR="001F76D2" w:rsidRDefault="007D7EF5" w:rsidP="001F76D2">
      <w:pPr>
        <w:pStyle w:val="Paragrafoelenco"/>
        <w:numPr>
          <w:ilvl w:val="0"/>
          <w:numId w:val="14"/>
        </w:numPr>
        <w:spacing w:line="240" w:lineRule="auto"/>
        <w:ind w:left="426" w:hanging="426"/>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I rappresentanti </w:t>
      </w:r>
      <w:proofErr w:type="spellStart"/>
      <w:r>
        <w:rPr>
          <w:rFonts w:ascii="Times New Roman" w:eastAsia="Times New Roman" w:hAnsi="Times New Roman" w:cs="Times New Roman"/>
          <w:sz w:val="26"/>
          <w:szCs w:val="26"/>
        </w:rPr>
        <w:t>Codis</w:t>
      </w:r>
      <w:proofErr w:type="spellEnd"/>
      <w:r>
        <w:rPr>
          <w:rFonts w:ascii="Times New Roman" w:eastAsia="Times New Roman" w:hAnsi="Times New Roman" w:cs="Times New Roman"/>
          <w:sz w:val="26"/>
          <w:szCs w:val="26"/>
        </w:rPr>
        <w:t xml:space="preserve"> riprendono il tema di </w:t>
      </w:r>
      <w:r w:rsidR="0008482B" w:rsidRPr="001F76D2">
        <w:rPr>
          <w:rFonts w:ascii="Times New Roman" w:eastAsia="Times New Roman" w:hAnsi="Times New Roman" w:cs="Times New Roman"/>
          <w:sz w:val="26"/>
          <w:szCs w:val="26"/>
        </w:rPr>
        <w:t xml:space="preserve">Sondrio e il filone della </w:t>
      </w:r>
      <w:proofErr w:type="spellStart"/>
      <w:r w:rsidR="0008482B" w:rsidRPr="001F76D2">
        <w:rPr>
          <w:rFonts w:ascii="Times New Roman" w:eastAsia="Times New Roman" w:hAnsi="Times New Roman" w:cs="Times New Roman"/>
          <w:sz w:val="26"/>
          <w:szCs w:val="26"/>
        </w:rPr>
        <w:t>GdF</w:t>
      </w:r>
      <w:proofErr w:type="spellEnd"/>
      <w:r w:rsidR="0008482B" w:rsidRPr="001F76D2">
        <w:rPr>
          <w:rFonts w:ascii="Times New Roman" w:eastAsia="Times New Roman" w:hAnsi="Times New Roman" w:cs="Times New Roman"/>
          <w:sz w:val="26"/>
          <w:szCs w:val="26"/>
        </w:rPr>
        <w:t xml:space="preserve"> che contestava la deducibilità dei compensi degli amministratori </w:t>
      </w:r>
      <w:r w:rsidR="001F76D2" w:rsidRPr="001F76D2">
        <w:rPr>
          <w:rFonts w:ascii="Times New Roman" w:eastAsia="Times New Roman" w:hAnsi="Times New Roman" w:cs="Times New Roman"/>
          <w:sz w:val="26"/>
          <w:szCs w:val="26"/>
        </w:rPr>
        <w:t>anche</w:t>
      </w:r>
      <w:r w:rsidR="0008482B" w:rsidRPr="001F76D2">
        <w:rPr>
          <w:rFonts w:ascii="Times New Roman" w:eastAsia="Times New Roman" w:hAnsi="Times New Roman" w:cs="Times New Roman"/>
          <w:sz w:val="26"/>
          <w:szCs w:val="26"/>
        </w:rPr>
        <w:t xml:space="preserve"> soci unici</w:t>
      </w:r>
      <w:r>
        <w:rPr>
          <w:rFonts w:ascii="Times New Roman" w:eastAsia="Times New Roman" w:hAnsi="Times New Roman" w:cs="Times New Roman"/>
          <w:sz w:val="26"/>
          <w:szCs w:val="26"/>
        </w:rPr>
        <w:t xml:space="preserve">, temendo </w:t>
      </w:r>
      <w:r w:rsidR="0008482B" w:rsidRPr="001F76D2">
        <w:rPr>
          <w:rFonts w:ascii="Times New Roman" w:eastAsia="Times New Roman" w:hAnsi="Times New Roman" w:cs="Times New Roman"/>
          <w:sz w:val="26"/>
          <w:szCs w:val="26"/>
        </w:rPr>
        <w:t>che si possa aprire un nu</w:t>
      </w:r>
      <w:r>
        <w:rPr>
          <w:rFonts w:ascii="Times New Roman" w:eastAsia="Times New Roman" w:hAnsi="Times New Roman" w:cs="Times New Roman"/>
          <w:sz w:val="26"/>
          <w:szCs w:val="26"/>
        </w:rPr>
        <w:t>o</w:t>
      </w:r>
      <w:r w:rsidR="0008482B" w:rsidRPr="001F76D2">
        <w:rPr>
          <w:rFonts w:ascii="Times New Roman" w:eastAsia="Times New Roman" w:hAnsi="Times New Roman" w:cs="Times New Roman"/>
          <w:sz w:val="26"/>
          <w:szCs w:val="26"/>
        </w:rPr>
        <w:t xml:space="preserve">vo filone: </w:t>
      </w:r>
      <w:r>
        <w:rPr>
          <w:rFonts w:ascii="Times New Roman" w:eastAsia="Times New Roman" w:hAnsi="Times New Roman" w:cs="Times New Roman"/>
          <w:sz w:val="26"/>
          <w:szCs w:val="26"/>
        </w:rPr>
        <w:t xml:space="preserve">fanno riferimento a una </w:t>
      </w:r>
      <w:r w:rsidR="0008482B" w:rsidRPr="001F76D2">
        <w:rPr>
          <w:rFonts w:ascii="Times New Roman" w:eastAsia="Times New Roman" w:hAnsi="Times New Roman" w:cs="Times New Roman"/>
          <w:sz w:val="26"/>
          <w:szCs w:val="26"/>
        </w:rPr>
        <w:t xml:space="preserve">verifica su uno studio professionale </w:t>
      </w:r>
      <w:r>
        <w:rPr>
          <w:rFonts w:ascii="Times New Roman" w:eastAsia="Times New Roman" w:hAnsi="Times New Roman" w:cs="Times New Roman"/>
          <w:sz w:val="26"/>
          <w:szCs w:val="26"/>
        </w:rPr>
        <w:t>p</w:t>
      </w:r>
      <w:r w:rsidR="0008482B" w:rsidRPr="001F76D2">
        <w:rPr>
          <w:rFonts w:ascii="Times New Roman" w:eastAsia="Times New Roman" w:hAnsi="Times New Roman" w:cs="Times New Roman"/>
          <w:sz w:val="26"/>
          <w:szCs w:val="26"/>
        </w:rPr>
        <w:t>resso il quale c’era la sede anche della società di servizi. L’</w:t>
      </w:r>
      <w:r w:rsidR="00AC5E13">
        <w:rPr>
          <w:rFonts w:ascii="Times New Roman" w:eastAsia="Times New Roman" w:hAnsi="Times New Roman" w:cs="Times New Roman"/>
          <w:sz w:val="26"/>
          <w:szCs w:val="26"/>
        </w:rPr>
        <w:t>U</w:t>
      </w:r>
      <w:r w:rsidR="0008482B" w:rsidRPr="001F76D2">
        <w:rPr>
          <w:rFonts w:ascii="Times New Roman" w:eastAsia="Times New Roman" w:hAnsi="Times New Roman" w:cs="Times New Roman"/>
          <w:sz w:val="26"/>
          <w:szCs w:val="26"/>
        </w:rPr>
        <w:t>fficio no</w:t>
      </w:r>
      <w:r>
        <w:rPr>
          <w:rFonts w:ascii="Times New Roman" w:eastAsia="Times New Roman" w:hAnsi="Times New Roman" w:cs="Times New Roman"/>
          <w:sz w:val="26"/>
          <w:szCs w:val="26"/>
        </w:rPr>
        <w:t>n</w:t>
      </w:r>
      <w:r w:rsidR="0008482B" w:rsidRPr="001F76D2">
        <w:rPr>
          <w:rFonts w:ascii="Times New Roman" w:eastAsia="Times New Roman" w:hAnsi="Times New Roman" w:cs="Times New Roman"/>
          <w:sz w:val="26"/>
          <w:szCs w:val="26"/>
        </w:rPr>
        <w:t xml:space="preserve"> riconosce</w:t>
      </w:r>
      <w:r>
        <w:rPr>
          <w:rFonts w:ascii="Times New Roman" w:eastAsia="Times New Roman" w:hAnsi="Times New Roman" w:cs="Times New Roman"/>
          <w:sz w:val="26"/>
          <w:szCs w:val="26"/>
        </w:rPr>
        <w:t>rebbe</w:t>
      </w:r>
      <w:r w:rsidR="0008482B" w:rsidRPr="001F76D2">
        <w:rPr>
          <w:rFonts w:ascii="Times New Roman" w:eastAsia="Times New Roman" w:hAnsi="Times New Roman" w:cs="Times New Roman"/>
          <w:sz w:val="26"/>
          <w:szCs w:val="26"/>
        </w:rPr>
        <w:t xml:space="preserve"> i costi a capo della società e viene contestata la deduzione. Chied</w:t>
      </w:r>
      <w:r>
        <w:rPr>
          <w:rFonts w:ascii="Times New Roman" w:eastAsia="Times New Roman" w:hAnsi="Times New Roman" w:cs="Times New Roman"/>
          <w:sz w:val="26"/>
          <w:szCs w:val="26"/>
        </w:rPr>
        <w:t>ono</w:t>
      </w:r>
      <w:r w:rsidR="0008482B" w:rsidRPr="001F76D2">
        <w:rPr>
          <w:rFonts w:ascii="Times New Roman" w:eastAsia="Times New Roman" w:hAnsi="Times New Roman" w:cs="Times New Roman"/>
          <w:sz w:val="26"/>
          <w:szCs w:val="26"/>
        </w:rPr>
        <w:t xml:space="preserve"> se sia possibile </w:t>
      </w:r>
      <w:r w:rsidR="001F76D2" w:rsidRPr="001F76D2">
        <w:rPr>
          <w:rFonts w:ascii="Times New Roman" w:eastAsia="Times New Roman" w:hAnsi="Times New Roman" w:cs="Times New Roman"/>
          <w:sz w:val="26"/>
          <w:szCs w:val="26"/>
        </w:rPr>
        <w:t>approfondire</w:t>
      </w:r>
      <w:r w:rsidR="0008482B" w:rsidRPr="001F76D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il tema </w:t>
      </w:r>
      <w:r w:rsidR="0008482B" w:rsidRPr="001F76D2">
        <w:rPr>
          <w:rFonts w:ascii="Times New Roman" w:eastAsia="Times New Roman" w:hAnsi="Times New Roman" w:cs="Times New Roman"/>
          <w:sz w:val="26"/>
          <w:szCs w:val="26"/>
        </w:rPr>
        <w:t>perché</w:t>
      </w:r>
      <w:r>
        <w:rPr>
          <w:rFonts w:ascii="Times New Roman" w:eastAsia="Times New Roman" w:hAnsi="Times New Roman" w:cs="Times New Roman"/>
          <w:sz w:val="26"/>
          <w:szCs w:val="26"/>
        </w:rPr>
        <w:t xml:space="preserve"> ritengono che</w:t>
      </w:r>
      <w:r w:rsidR="0008482B" w:rsidRPr="001F76D2">
        <w:rPr>
          <w:rFonts w:ascii="Times New Roman" w:eastAsia="Times New Roman" w:hAnsi="Times New Roman" w:cs="Times New Roman"/>
          <w:sz w:val="26"/>
          <w:szCs w:val="26"/>
        </w:rPr>
        <w:t xml:space="preserve"> sono società di servizi che nella prassi si usano per organizzare l’attività degli studi. </w:t>
      </w:r>
      <w:r>
        <w:rPr>
          <w:rFonts w:ascii="Times New Roman" w:eastAsia="Times New Roman" w:hAnsi="Times New Roman" w:cs="Times New Roman"/>
          <w:sz w:val="26"/>
          <w:szCs w:val="26"/>
        </w:rPr>
        <w:t>Litigio n</w:t>
      </w:r>
      <w:r w:rsidR="0008482B" w:rsidRPr="001F76D2">
        <w:rPr>
          <w:rFonts w:ascii="Times New Roman" w:eastAsia="Times New Roman" w:hAnsi="Times New Roman" w:cs="Times New Roman"/>
          <w:sz w:val="26"/>
          <w:szCs w:val="26"/>
        </w:rPr>
        <w:t xml:space="preserve">on ha il caso specifico al momento, ma si riserva di </w:t>
      </w:r>
      <w:r>
        <w:rPr>
          <w:rFonts w:ascii="Times New Roman" w:eastAsia="Times New Roman" w:hAnsi="Times New Roman" w:cs="Times New Roman"/>
          <w:sz w:val="26"/>
          <w:szCs w:val="26"/>
        </w:rPr>
        <w:t>segnalarlo</w:t>
      </w:r>
      <w:r w:rsidR="0008482B" w:rsidRPr="001F76D2">
        <w:rPr>
          <w:rFonts w:ascii="Times New Roman" w:eastAsia="Times New Roman" w:hAnsi="Times New Roman" w:cs="Times New Roman"/>
          <w:sz w:val="26"/>
          <w:szCs w:val="26"/>
        </w:rPr>
        <w:t xml:space="preserve"> i</w:t>
      </w:r>
      <w:r w:rsidR="00FC3859">
        <w:rPr>
          <w:rFonts w:ascii="Times New Roman" w:eastAsia="Times New Roman" w:hAnsi="Times New Roman" w:cs="Times New Roman"/>
          <w:sz w:val="26"/>
          <w:szCs w:val="26"/>
        </w:rPr>
        <w:t>n</w:t>
      </w:r>
      <w:r w:rsidR="0008482B" w:rsidRPr="001F76D2">
        <w:rPr>
          <w:rFonts w:ascii="Times New Roman" w:eastAsia="Times New Roman" w:hAnsi="Times New Roman" w:cs="Times New Roman"/>
          <w:sz w:val="26"/>
          <w:szCs w:val="26"/>
        </w:rPr>
        <w:t xml:space="preserve"> una successiva seduta. </w:t>
      </w:r>
      <w:proofErr w:type="spellStart"/>
      <w:r w:rsidR="0008482B" w:rsidRPr="001F76D2">
        <w:rPr>
          <w:rFonts w:ascii="Times New Roman" w:eastAsia="Times New Roman" w:hAnsi="Times New Roman" w:cs="Times New Roman"/>
          <w:sz w:val="26"/>
          <w:szCs w:val="26"/>
        </w:rPr>
        <w:t>Scutifero</w:t>
      </w:r>
      <w:proofErr w:type="spellEnd"/>
      <w:r w:rsidR="0008482B" w:rsidRPr="001F76D2">
        <w:rPr>
          <w:rFonts w:ascii="Times New Roman" w:eastAsia="Times New Roman" w:hAnsi="Times New Roman" w:cs="Times New Roman"/>
          <w:sz w:val="26"/>
          <w:szCs w:val="26"/>
        </w:rPr>
        <w:t xml:space="preserve"> informa di non avere notizie in merito</w:t>
      </w:r>
      <w:r w:rsidR="00AC5E13">
        <w:rPr>
          <w:rFonts w:ascii="Times New Roman" w:eastAsia="Times New Roman" w:hAnsi="Times New Roman" w:cs="Times New Roman"/>
          <w:sz w:val="26"/>
          <w:szCs w:val="26"/>
        </w:rPr>
        <w:t>,</w:t>
      </w:r>
      <w:r w:rsidR="0008482B" w:rsidRPr="001F76D2">
        <w:rPr>
          <w:rFonts w:ascii="Times New Roman" w:eastAsia="Times New Roman" w:hAnsi="Times New Roman" w:cs="Times New Roman"/>
          <w:sz w:val="26"/>
          <w:szCs w:val="26"/>
        </w:rPr>
        <w:t xml:space="preserve"> ma </w:t>
      </w:r>
      <w:r w:rsidR="008C3E44" w:rsidRPr="001F76D2">
        <w:rPr>
          <w:rFonts w:ascii="Times New Roman" w:eastAsia="Times New Roman" w:hAnsi="Times New Roman" w:cs="Times New Roman"/>
          <w:sz w:val="26"/>
          <w:szCs w:val="26"/>
        </w:rPr>
        <w:t>approfondirà</w:t>
      </w:r>
      <w:r w:rsidR="0008482B" w:rsidRPr="001F76D2">
        <w:rPr>
          <w:rFonts w:ascii="Times New Roman" w:eastAsia="Times New Roman" w:hAnsi="Times New Roman" w:cs="Times New Roman"/>
          <w:sz w:val="26"/>
          <w:szCs w:val="26"/>
        </w:rPr>
        <w:t xml:space="preserve"> in attesa di ricevere </w:t>
      </w:r>
      <w:r w:rsidR="008C3E44" w:rsidRPr="001F76D2">
        <w:rPr>
          <w:rFonts w:ascii="Times New Roman" w:eastAsia="Times New Roman" w:hAnsi="Times New Roman" w:cs="Times New Roman"/>
          <w:sz w:val="26"/>
          <w:szCs w:val="26"/>
        </w:rPr>
        <w:t>dettagli</w:t>
      </w:r>
      <w:r>
        <w:rPr>
          <w:rFonts w:ascii="Times New Roman" w:eastAsia="Times New Roman" w:hAnsi="Times New Roman" w:cs="Times New Roman"/>
          <w:sz w:val="26"/>
          <w:szCs w:val="26"/>
        </w:rPr>
        <w:t>.</w:t>
      </w:r>
      <w:r w:rsidR="0008482B" w:rsidRPr="001F76D2">
        <w:rPr>
          <w:rFonts w:ascii="Times New Roman" w:eastAsia="Times New Roman" w:hAnsi="Times New Roman" w:cs="Times New Roman"/>
          <w:sz w:val="26"/>
          <w:szCs w:val="26"/>
        </w:rPr>
        <w:t xml:space="preserve"> </w:t>
      </w:r>
    </w:p>
    <w:p w14:paraId="39BF8905" w14:textId="37F2DE8F" w:rsidR="001F76D2" w:rsidRPr="00370E5C" w:rsidRDefault="00055207" w:rsidP="001F76D2">
      <w:pPr>
        <w:pStyle w:val="Paragrafoelenco"/>
        <w:numPr>
          <w:ilvl w:val="0"/>
          <w:numId w:val="14"/>
        </w:numPr>
        <w:spacing w:line="240" w:lineRule="auto"/>
        <w:ind w:left="426" w:hanging="426"/>
        <w:rPr>
          <w:rFonts w:ascii="Times New Roman" w:eastAsia="Times New Roman" w:hAnsi="Times New Roman" w:cs="Times New Roman"/>
          <w:sz w:val="26"/>
          <w:szCs w:val="26"/>
        </w:rPr>
      </w:pPr>
      <w:r w:rsidRPr="00370E5C">
        <w:rPr>
          <w:rFonts w:ascii="Times New Roman" w:eastAsia="Times New Roman" w:hAnsi="Times New Roman" w:cs="Times New Roman"/>
          <w:sz w:val="26"/>
          <w:szCs w:val="26"/>
        </w:rPr>
        <w:t>Barassi presenta un</w:t>
      </w:r>
      <w:r w:rsidR="001F76D2" w:rsidRPr="00370E5C">
        <w:rPr>
          <w:rFonts w:ascii="Times New Roman" w:eastAsia="Times New Roman" w:hAnsi="Times New Roman" w:cs="Times New Roman"/>
          <w:sz w:val="26"/>
          <w:szCs w:val="26"/>
        </w:rPr>
        <w:t xml:space="preserve"> caso</w:t>
      </w:r>
      <w:r w:rsidRPr="00370E5C">
        <w:rPr>
          <w:rFonts w:ascii="Times New Roman" w:eastAsia="Times New Roman" w:hAnsi="Times New Roman" w:cs="Times New Roman"/>
          <w:sz w:val="26"/>
          <w:szCs w:val="26"/>
        </w:rPr>
        <w:t xml:space="preserve"> di un investimento previsto dal piano Industria</w:t>
      </w:r>
      <w:r w:rsidR="001F76D2" w:rsidRPr="00370E5C">
        <w:rPr>
          <w:rFonts w:ascii="Times New Roman" w:eastAsia="Times New Roman" w:hAnsi="Times New Roman" w:cs="Times New Roman"/>
          <w:sz w:val="26"/>
          <w:szCs w:val="26"/>
        </w:rPr>
        <w:t xml:space="preserve"> 4.0</w:t>
      </w:r>
      <w:r w:rsidRPr="00370E5C">
        <w:rPr>
          <w:rFonts w:ascii="Times New Roman" w:eastAsia="Times New Roman" w:hAnsi="Times New Roman" w:cs="Times New Roman"/>
          <w:sz w:val="26"/>
          <w:szCs w:val="26"/>
        </w:rPr>
        <w:t xml:space="preserve"> relativo a una</w:t>
      </w:r>
      <w:r w:rsidR="001F76D2" w:rsidRPr="00370E5C">
        <w:rPr>
          <w:rFonts w:ascii="Times New Roman" w:eastAsia="Times New Roman" w:hAnsi="Times New Roman" w:cs="Times New Roman"/>
          <w:sz w:val="26"/>
          <w:szCs w:val="26"/>
        </w:rPr>
        <w:t xml:space="preserve"> società che noleggi</w:t>
      </w:r>
      <w:r w:rsidR="00FC3859" w:rsidRPr="00370E5C">
        <w:rPr>
          <w:rFonts w:ascii="Times New Roman" w:eastAsia="Times New Roman" w:hAnsi="Times New Roman" w:cs="Times New Roman"/>
          <w:sz w:val="26"/>
          <w:szCs w:val="26"/>
        </w:rPr>
        <w:t>a</w:t>
      </w:r>
      <w:r w:rsidR="001F76D2" w:rsidRPr="00370E5C">
        <w:rPr>
          <w:rFonts w:ascii="Times New Roman" w:eastAsia="Times New Roman" w:hAnsi="Times New Roman" w:cs="Times New Roman"/>
          <w:sz w:val="26"/>
          <w:szCs w:val="26"/>
        </w:rPr>
        <w:t xml:space="preserve"> macchinari</w:t>
      </w:r>
      <w:r w:rsidRPr="00370E5C">
        <w:rPr>
          <w:rFonts w:ascii="Times New Roman" w:eastAsia="Times New Roman" w:hAnsi="Times New Roman" w:cs="Times New Roman"/>
          <w:sz w:val="26"/>
          <w:szCs w:val="26"/>
        </w:rPr>
        <w:t>. La società</w:t>
      </w:r>
      <w:r w:rsidR="001F76D2" w:rsidRPr="00370E5C">
        <w:rPr>
          <w:rFonts w:ascii="Times New Roman" w:eastAsia="Times New Roman" w:hAnsi="Times New Roman" w:cs="Times New Roman"/>
          <w:sz w:val="26"/>
          <w:szCs w:val="26"/>
        </w:rPr>
        <w:t xml:space="preserve"> acquista</w:t>
      </w:r>
      <w:r w:rsidRPr="00370E5C">
        <w:rPr>
          <w:rFonts w:ascii="Times New Roman" w:eastAsia="Times New Roman" w:hAnsi="Times New Roman" w:cs="Times New Roman"/>
          <w:sz w:val="26"/>
          <w:szCs w:val="26"/>
        </w:rPr>
        <w:t xml:space="preserve"> i macchinari</w:t>
      </w:r>
      <w:r w:rsidR="001F76D2" w:rsidRPr="00370E5C">
        <w:rPr>
          <w:rFonts w:ascii="Times New Roman" w:eastAsia="Times New Roman" w:hAnsi="Times New Roman" w:cs="Times New Roman"/>
          <w:sz w:val="26"/>
          <w:szCs w:val="26"/>
        </w:rPr>
        <w:t xml:space="preserve"> in </w:t>
      </w:r>
      <w:r w:rsidR="00FC3859" w:rsidRPr="00370E5C">
        <w:rPr>
          <w:rFonts w:ascii="Times New Roman" w:eastAsia="Times New Roman" w:hAnsi="Times New Roman" w:cs="Times New Roman"/>
          <w:sz w:val="26"/>
          <w:szCs w:val="26"/>
        </w:rPr>
        <w:t>p</w:t>
      </w:r>
      <w:r w:rsidR="001F76D2" w:rsidRPr="00370E5C">
        <w:rPr>
          <w:rFonts w:ascii="Times New Roman" w:eastAsia="Times New Roman" w:hAnsi="Times New Roman" w:cs="Times New Roman"/>
          <w:sz w:val="26"/>
          <w:szCs w:val="26"/>
        </w:rPr>
        <w:t>arte in prop</w:t>
      </w:r>
      <w:r w:rsidR="008C3E44" w:rsidRPr="00370E5C">
        <w:rPr>
          <w:rFonts w:ascii="Times New Roman" w:eastAsia="Times New Roman" w:hAnsi="Times New Roman" w:cs="Times New Roman"/>
          <w:sz w:val="26"/>
          <w:szCs w:val="26"/>
        </w:rPr>
        <w:t xml:space="preserve">rietà </w:t>
      </w:r>
      <w:r w:rsidR="001F76D2" w:rsidRPr="00370E5C">
        <w:rPr>
          <w:rFonts w:ascii="Times New Roman" w:eastAsia="Times New Roman" w:hAnsi="Times New Roman" w:cs="Times New Roman"/>
          <w:sz w:val="26"/>
          <w:szCs w:val="26"/>
        </w:rPr>
        <w:t>e in parte in leasing</w:t>
      </w:r>
      <w:r w:rsidRPr="00370E5C">
        <w:rPr>
          <w:rFonts w:ascii="Times New Roman" w:eastAsia="Times New Roman" w:hAnsi="Times New Roman" w:cs="Times New Roman"/>
          <w:sz w:val="26"/>
          <w:szCs w:val="26"/>
        </w:rPr>
        <w:t>,</w:t>
      </w:r>
      <w:r w:rsidR="00FC3859" w:rsidRPr="00370E5C">
        <w:rPr>
          <w:rFonts w:ascii="Times New Roman" w:eastAsia="Times New Roman" w:hAnsi="Times New Roman" w:cs="Times New Roman"/>
          <w:sz w:val="26"/>
          <w:szCs w:val="26"/>
        </w:rPr>
        <w:t xml:space="preserve"> in particolare,</w:t>
      </w:r>
      <w:r w:rsidR="001F76D2" w:rsidRPr="00370E5C">
        <w:rPr>
          <w:rFonts w:ascii="Times New Roman" w:eastAsia="Times New Roman" w:hAnsi="Times New Roman" w:cs="Times New Roman"/>
          <w:sz w:val="26"/>
          <w:szCs w:val="26"/>
        </w:rPr>
        <w:t xml:space="preserve"> acquista </w:t>
      </w:r>
      <w:r w:rsidR="00FC3859" w:rsidRPr="00370E5C">
        <w:rPr>
          <w:rFonts w:ascii="Times New Roman" w:eastAsia="Times New Roman" w:hAnsi="Times New Roman" w:cs="Times New Roman"/>
          <w:sz w:val="26"/>
          <w:szCs w:val="26"/>
        </w:rPr>
        <w:t>il</w:t>
      </w:r>
      <w:r w:rsidR="001F76D2" w:rsidRPr="00370E5C">
        <w:rPr>
          <w:rFonts w:ascii="Times New Roman" w:eastAsia="Times New Roman" w:hAnsi="Times New Roman" w:cs="Times New Roman"/>
          <w:sz w:val="26"/>
          <w:szCs w:val="26"/>
        </w:rPr>
        <w:t xml:space="preserve"> bene in leasing e poi noleggia</w:t>
      </w:r>
      <w:r w:rsidR="00FC3859" w:rsidRPr="00370E5C">
        <w:rPr>
          <w:rFonts w:ascii="Times New Roman" w:eastAsia="Times New Roman" w:hAnsi="Times New Roman" w:cs="Times New Roman"/>
          <w:sz w:val="26"/>
          <w:szCs w:val="26"/>
        </w:rPr>
        <w:t xml:space="preserve"> </w:t>
      </w:r>
      <w:r w:rsidR="001F76D2" w:rsidRPr="00370E5C">
        <w:rPr>
          <w:rFonts w:ascii="Times New Roman" w:eastAsia="Times New Roman" w:hAnsi="Times New Roman" w:cs="Times New Roman"/>
          <w:sz w:val="26"/>
          <w:szCs w:val="26"/>
        </w:rPr>
        <w:t>gli accessori</w:t>
      </w:r>
      <w:r w:rsidR="00FC3859" w:rsidRPr="00370E5C">
        <w:rPr>
          <w:rFonts w:ascii="Times New Roman" w:eastAsia="Times New Roman" w:hAnsi="Times New Roman" w:cs="Times New Roman"/>
          <w:sz w:val="26"/>
          <w:szCs w:val="26"/>
        </w:rPr>
        <w:t>; chiede se</w:t>
      </w:r>
      <w:r w:rsidRPr="00370E5C">
        <w:rPr>
          <w:rFonts w:ascii="Times New Roman" w:eastAsia="Times New Roman" w:hAnsi="Times New Roman" w:cs="Times New Roman"/>
          <w:sz w:val="26"/>
          <w:szCs w:val="26"/>
        </w:rPr>
        <w:t xml:space="preserve"> in questo caso è possibile fruire dell’</w:t>
      </w:r>
      <w:proofErr w:type="spellStart"/>
      <w:r w:rsidRPr="00370E5C">
        <w:rPr>
          <w:rFonts w:ascii="Times New Roman" w:eastAsia="Times New Roman" w:hAnsi="Times New Roman" w:cs="Times New Roman"/>
          <w:sz w:val="26"/>
          <w:szCs w:val="26"/>
        </w:rPr>
        <w:t>iperammortamento</w:t>
      </w:r>
      <w:proofErr w:type="spellEnd"/>
      <w:r w:rsidRPr="00370E5C">
        <w:rPr>
          <w:rFonts w:ascii="Times New Roman" w:eastAsia="Times New Roman" w:hAnsi="Times New Roman" w:cs="Times New Roman"/>
          <w:sz w:val="26"/>
          <w:szCs w:val="26"/>
        </w:rPr>
        <w:t xml:space="preserve"> </w:t>
      </w:r>
      <w:r w:rsidR="001F76D2" w:rsidRPr="00370E5C">
        <w:rPr>
          <w:rFonts w:ascii="Times New Roman" w:eastAsia="Times New Roman" w:hAnsi="Times New Roman" w:cs="Times New Roman"/>
          <w:sz w:val="26"/>
          <w:szCs w:val="26"/>
        </w:rPr>
        <w:t xml:space="preserve">o </w:t>
      </w:r>
      <w:r w:rsidRPr="00370E5C">
        <w:rPr>
          <w:rFonts w:ascii="Times New Roman" w:eastAsia="Times New Roman" w:hAnsi="Times New Roman" w:cs="Times New Roman"/>
          <w:sz w:val="26"/>
          <w:szCs w:val="26"/>
        </w:rPr>
        <w:t xml:space="preserve">del </w:t>
      </w:r>
      <w:r w:rsidR="001F76D2" w:rsidRPr="00370E5C">
        <w:rPr>
          <w:rFonts w:ascii="Times New Roman" w:eastAsia="Times New Roman" w:hAnsi="Times New Roman" w:cs="Times New Roman"/>
          <w:sz w:val="26"/>
          <w:szCs w:val="26"/>
        </w:rPr>
        <w:t>credito d’imposta</w:t>
      </w:r>
      <w:r w:rsidRPr="00370E5C">
        <w:rPr>
          <w:rFonts w:ascii="Times New Roman" w:eastAsia="Times New Roman" w:hAnsi="Times New Roman" w:cs="Times New Roman"/>
          <w:sz w:val="26"/>
          <w:szCs w:val="26"/>
        </w:rPr>
        <w:t xml:space="preserve"> investimenti in beni strumentali nuovi</w:t>
      </w:r>
      <w:r w:rsidR="001F76D2" w:rsidRPr="00370E5C">
        <w:rPr>
          <w:rFonts w:ascii="Times New Roman" w:eastAsia="Times New Roman" w:hAnsi="Times New Roman" w:cs="Times New Roman"/>
          <w:sz w:val="26"/>
          <w:szCs w:val="26"/>
        </w:rPr>
        <w:t xml:space="preserve"> o se l’intero macchinario non ne possa fruire. Alfieri informa che</w:t>
      </w:r>
      <w:r w:rsidR="00FC3859" w:rsidRPr="00370E5C">
        <w:rPr>
          <w:rFonts w:ascii="Times New Roman" w:eastAsia="Times New Roman" w:hAnsi="Times New Roman" w:cs="Times New Roman"/>
          <w:sz w:val="26"/>
          <w:szCs w:val="26"/>
        </w:rPr>
        <w:t>,</w:t>
      </w:r>
      <w:r w:rsidR="001F76D2" w:rsidRPr="00370E5C">
        <w:rPr>
          <w:rFonts w:ascii="Times New Roman" w:eastAsia="Times New Roman" w:hAnsi="Times New Roman" w:cs="Times New Roman"/>
          <w:sz w:val="26"/>
          <w:szCs w:val="26"/>
        </w:rPr>
        <w:t xml:space="preserve"> </w:t>
      </w:r>
      <w:r w:rsidRPr="00370E5C">
        <w:rPr>
          <w:rFonts w:ascii="Times New Roman" w:eastAsia="Times New Roman" w:hAnsi="Times New Roman" w:cs="Times New Roman"/>
          <w:sz w:val="26"/>
          <w:szCs w:val="26"/>
        </w:rPr>
        <w:t>trattandosi di un caso specifico</w:t>
      </w:r>
      <w:r w:rsidR="007417F3" w:rsidRPr="00370E5C">
        <w:rPr>
          <w:rFonts w:ascii="Times New Roman" w:eastAsia="Times New Roman" w:hAnsi="Times New Roman" w:cs="Times New Roman"/>
          <w:sz w:val="26"/>
          <w:szCs w:val="26"/>
        </w:rPr>
        <w:t>,</w:t>
      </w:r>
      <w:r w:rsidR="001F76D2" w:rsidRPr="00370E5C">
        <w:rPr>
          <w:rFonts w:ascii="Times New Roman" w:eastAsia="Times New Roman" w:hAnsi="Times New Roman" w:cs="Times New Roman"/>
          <w:sz w:val="26"/>
          <w:szCs w:val="26"/>
        </w:rPr>
        <w:t xml:space="preserve"> se </w:t>
      </w:r>
      <w:r w:rsidRPr="00370E5C">
        <w:rPr>
          <w:rFonts w:ascii="Times New Roman" w:eastAsia="Times New Roman" w:hAnsi="Times New Roman" w:cs="Times New Roman"/>
          <w:sz w:val="26"/>
          <w:szCs w:val="26"/>
        </w:rPr>
        <w:t xml:space="preserve">la questione non è chiarita </w:t>
      </w:r>
      <w:r w:rsidR="001F76D2" w:rsidRPr="00370E5C">
        <w:rPr>
          <w:rFonts w:ascii="Times New Roman" w:eastAsia="Times New Roman" w:hAnsi="Times New Roman" w:cs="Times New Roman"/>
          <w:sz w:val="26"/>
          <w:szCs w:val="26"/>
        </w:rPr>
        <w:t>nei documenti di prassi o nelle risposte</w:t>
      </w:r>
      <w:r w:rsidRPr="00370E5C">
        <w:rPr>
          <w:rFonts w:ascii="Times New Roman" w:eastAsia="Times New Roman" w:hAnsi="Times New Roman" w:cs="Times New Roman"/>
          <w:sz w:val="26"/>
          <w:szCs w:val="26"/>
        </w:rPr>
        <w:t xml:space="preserve"> pubblicate</w:t>
      </w:r>
      <w:r w:rsidR="00A434D8" w:rsidRPr="00370E5C">
        <w:rPr>
          <w:rFonts w:ascii="Times New Roman" w:eastAsia="Times New Roman" w:hAnsi="Times New Roman" w:cs="Times New Roman"/>
          <w:sz w:val="26"/>
          <w:szCs w:val="26"/>
        </w:rPr>
        <w:t>,</w:t>
      </w:r>
      <w:r w:rsidR="001F76D2" w:rsidRPr="00370E5C">
        <w:rPr>
          <w:rFonts w:ascii="Times New Roman" w:eastAsia="Times New Roman" w:hAnsi="Times New Roman" w:cs="Times New Roman"/>
          <w:sz w:val="26"/>
          <w:szCs w:val="26"/>
        </w:rPr>
        <w:t xml:space="preserve"> può essere opportuno </w:t>
      </w:r>
      <w:r w:rsidRPr="00370E5C">
        <w:rPr>
          <w:rFonts w:ascii="Times New Roman" w:eastAsia="Times New Roman" w:hAnsi="Times New Roman" w:cs="Times New Roman"/>
          <w:sz w:val="26"/>
          <w:szCs w:val="26"/>
        </w:rPr>
        <w:t xml:space="preserve">presentare </w:t>
      </w:r>
      <w:r w:rsidR="001F76D2" w:rsidRPr="00370E5C">
        <w:rPr>
          <w:rFonts w:ascii="Times New Roman" w:eastAsia="Times New Roman" w:hAnsi="Times New Roman" w:cs="Times New Roman"/>
          <w:sz w:val="26"/>
          <w:szCs w:val="26"/>
        </w:rPr>
        <w:t xml:space="preserve">interpello. </w:t>
      </w:r>
    </w:p>
    <w:p w14:paraId="6B015275" w14:textId="4F4F6B2F" w:rsidR="00240E9B" w:rsidRDefault="001F76D2" w:rsidP="00240E9B">
      <w:pPr>
        <w:pStyle w:val="Paragrafoelenco"/>
        <w:numPr>
          <w:ilvl w:val="0"/>
          <w:numId w:val="14"/>
        </w:numPr>
        <w:spacing w:line="240" w:lineRule="auto"/>
        <w:ind w:left="426" w:hanging="426"/>
        <w:rPr>
          <w:rFonts w:ascii="Times New Roman" w:eastAsia="Times New Roman" w:hAnsi="Times New Roman" w:cs="Times New Roman"/>
          <w:sz w:val="26"/>
          <w:szCs w:val="26"/>
        </w:rPr>
      </w:pPr>
      <w:r w:rsidRPr="00443508">
        <w:rPr>
          <w:rFonts w:ascii="Times New Roman" w:eastAsia="Times New Roman" w:hAnsi="Times New Roman" w:cs="Times New Roman"/>
          <w:sz w:val="26"/>
          <w:szCs w:val="26"/>
        </w:rPr>
        <w:t xml:space="preserve">Auricchio interviene </w:t>
      </w:r>
      <w:r w:rsidR="00240E9B">
        <w:rPr>
          <w:rFonts w:ascii="Times New Roman" w:eastAsia="Times New Roman" w:hAnsi="Times New Roman" w:cs="Times New Roman"/>
          <w:sz w:val="26"/>
          <w:szCs w:val="26"/>
        </w:rPr>
        <w:t xml:space="preserve">evidenziando come la lavorazione delle </w:t>
      </w:r>
      <w:proofErr w:type="spellStart"/>
      <w:r w:rsidR="00240E9B">
        <w:rPr>
          <w:rFonts w:ascii="Times New Roman" w:eastAsia="Times New Roman" w:hAnsi="Times New Roman" w:cs="Times New Roman"/>
          <w:sz w:val="26"/>
          <w:szCs w:val="26"/>
        </w:rPr>
        <w:t>Civis</w:t>
      </w:r>
      <w:proofErr w:type="spellEnd"/>
      <w:r w:rsidR="00240E9B">
        <w:rPr>
          <w:rFonts w:ascii="Times New Roman" w:eastAsia="Times New Roman" w:hAnsi="Times New Roman" w:cs="Times New Roman"/>
          <w:sz w:val="26"/>
          <w:szCs w:val="26"/>
        </w:rPr>
        <w:t xml:space="preserve"> pervenute nel 2021 sia quasi completata. Per quanto riguarda la gestione ordinaria, gli Uffici hanno ricevuto precise indicazioni in linea con </w:t>
      </w:r>
      <w:r w:rsidR="008C3E44" w:rsidRPr="00240E9B">
        <w:rPr>
          <w:rFonts w:ascii="Times New Roman" w:eastAsia="Times New Roman" w:hAnsi="Times New Roman" w:cs="Times New Roman"/>
          <w:sz w:val="26"/>
          <w:szCs w:val="26"/>
        </w:rPr>
        <w:t>quanto verbalizzato</w:t>
      </w:r>
      <w:r w:rsidR="002B5B3F" w:rsidRPr="00240E9B">
        <w:rPr>
          <w:rFonts w:ascii="Times New Roman" w:eastAsia="Times New Roman" w:hAnsi="Times New Roman" w:cs="Times New Roman"/>
          <w:sz w:val="26"/>
          <w:szCs w:val="26"/>
        </w:rPr>
        <w:t xml:space="preserve"> </w:t>
      </w:r>
      <w:r w:rsidR="00240E9B">
        <w:rPr>
          <w:rFonts w:ascii="Times New Roman" w:eastAsia="Times New Roman" w:hAnsi="Times New Roman" w:cs="Times New Roman"/>
          <w:sz w:val="26"/>
          <w:szCs w:val="26"/>
        </w:rPr>
        <w:t>negli ultimi incontri ed invita a segnalare eventuali difformità di comportamento.</w:t>
      </w:r>
    </w:p>
    <w:p w14:paraId="274DCF29" w14:textId="18AEE6B1" w:rsidR="00240E9B" w:rsidRDefault="008C3E44" w:rsidP="00240E9B">
      <w:pPr>
        <w:pStyle w:val="Paragrafoelenco"/>
        <w:numPr>
          <w:ilvl w:val="0"/>
          <w:numId w:val="0"/>
        </w:numPr>
        <w:spacing w:line="240" w:lineRule="auto"/>
        <w:ind w:left="426"/>
        <w:rPr>
          <w:rFonts w:ascii="Times New Roman" w:eastAsia="Times New Roman" w:hAnsi="Times New Roman" w:cs="Times New Roman"/>
          <w:sz w:val="26"/>
          <w:szCs w:val="26"/>
        </w:rPr>
      </w:pPr>
      <w:r w:rsidRPr="00240E9B">
        <w:rPr>
          <w:rFonts w:ascii="Times New Roman" w:eastAsia="Times New Roman" w:hAnsi="Times New Roman" w:cs="Times New Roman"/>
          <w:sz w:val="26"/>
          <w:szCs w:val="26"/>
        </w:rPr>
        <w:t>Litigio interviene ch</w:t>
      </w:r>
      <w:r w:rsidR="002B5B3F" w:rsidRPr="00240E9B">
        <w:rPr>
          <w:rFonts w:ascii="Times New Roman" w:eastAsia="Times New Roman" w:hAnsi="Times New Roman" w:cs="Times New Roman"/>
          <w:sz w:val="26"/>
          <w:szCs w:val="26"/>
        </w:rPr>
        <w:t>iedendo una precisazione sulla</w:t>
      </w:r>
      <w:r w:rsidRPr="00240E9B">
        <w:rPr>
          <w:rFonts w:ascii="Times New Roman" w:eastAsia="Times New Roman" w:hAnsi="Times New Roman" w:cs="Times New Roman"/>
          <w:sz w:val="26"/>
          <w:szCs w:val="26"/>
        </w:rPr>
        <w:t xml:space="preserve"> </w:t>
      </w:r>
      <w:r w:rsidR="00240E9B">
        <w:rPr>
          <w:rFonts w:ascii="Times New Roman" w:eastAsia="Times New Roman" w:hAnsi="Times New Roman" w:cs="Times New Roman"/>
          <w:sz w:val="26"/>
          <w:szCs w:val="26"/>
        </w:rPr>
        <w:t>rimessione in termini</w:t>
      </w:r>
      <w:r w:rsidRPr="00240E9B">
        <w:rPr>
          <w:rFonts w:ascii="Times New Roman" w:eastAsia="Times New Roman" w:hAnsi="Times New Roman" w:cs="Times New Roman"/>
          <w:sz w:val="26"/>
          <w:szCs w:val="26"/>
        </w:rPr>
        <w:t xml:space="preserve"> ovviamente non per istanze di carattere dilatorio. Chiede una precisazione su questo punto e sulla discrezionalità</w:t>
      </w:r>
      <w:r w:rsidR="002B5B3F" w:rsidRPr="00240E9B">
        <w:rPr>
          <w:rFonts w:ascii="Times New Roman" w:eastAsia="Times New Roman" w:hAnsi="Times New Roman" w:cs="Times New Roman"/>
          <w:sz w:val="26"/>
          <w:szCs w:val="26"/>
        </w:rPr>
        <w:t>, escluso appunto i</w:t>
      </w:r>
      <w:r w:rsidRPr="00240E9B">
        <w:rPr>
          <w:rFonts w:ascii="Times New Roman" w:eastAsia="Times New Roman" w:hAnsi="Times New Roman" w:cs="Times New Roman"/>
          <w:sz w:val="26"/>
          <w:szCs w:val="26"/>
        </w:rPr>
        <w:t xml:space="preserve">l carattere dilatorio dell’istanza. Chiede inoltre se </w:t>
      </w:r>
      <w:r w:rsidR="00F243EF" w:rsidRPr="00240E9B">
        <w:rPr>
          <w:rFonts w:ascii="Times New Roman" w:eastAsia="Times New Roman" w:hAnsi="Times New Roman" w:cs="Times New Roman"/>
          <w:sz w:val="26"/>
          <w:szCs w:val="26"/>
        </w:rPr>
        <w:t>ci sono</w:t>
      </w:r>
      <w:r w:rsidR="008136A1">
        <w:rPr>
          <w:rFonts w:ascii="Times New Roman" w:eastAsia="Times New Roman" w:hAnsi="Times New Roman" w:cs="Times New Roman"/>
          <w:sz w:val="26"/>
          <w:szCs w:val="26"/>
        </w:rPr>
        <w:t xml:space="preserve"> state rime</w:t>
      </w:r>
      <w:r w:rsidRPr="00240E9B">
        <w:rPr>
          <w:rFonts w:ascii="Times New Roman" w:eastAsia="Times New Roman" w:hAnsi="Times New Roman" w:cs="Times New Roman"/>
          <w:sz w:val="26"/>
          <w:szCs w:val="26"/>
        </w:rPr>
        <w:t>ssione nei termini</w:t>
      </w:r>
      <w:r w:rsidR="009D121A" w:rsidRPr="00240E9B">
        <w:rPr>
          <w:rFonts w:ascii="Times New Roman" w:eastAsia="Times New Roman" w:hAnsi="Times New Roman" w:cs="Times New Roman"/>
          <w:sz w:val="26"/>
          <w:szCs w:val="26"/>
        </w:rPr>
        <w:t xml:space="preserve">. </w:t>
      </w:r>
    </w:p>
    <w:p w14:paraId="4F8C1D4B" w14:textId="5EE4B596" w:rsidR="008136A1" w:rsidRDefault="009D121A" w:rsidP="008136A1">
      <w:pPr>
        <w:pStyle w:val="Paragrafoelenco"/>
        <w:numPr>
          <w:ilvl w:val="0"/>
          <w:numId w:val="0"/>
        </w:numPr>
        <w:spacing w:line="240" w:lineRule="auto"/>
        <w:ind w:left="426"/>
        <w:rPr>
          <w:rFonts w:ascii="Times New Roman" w:eastAsia="Times New Roman" w:hAnsi="Times New Roman" w:cs="Times New Roman"/>
          <w:sz w:val="26"/>
          <w:szCs w:val="26"/>
        </w:rPr>
      </w:pPr>
      <w:r w:rsidRPr="00240E9B">
        <w:rPr>
          <w:rFonts w:ascii="Times New Roman" w:eastAsia="Times New Roman" w:hAnsi="Times New Roman" w:cs="Times New Roman"/>
          <w:sz w:val="26"/>
          <w:szCs w:val="26"/>
        </w:rPr>
        <w:t xml:space="preserve">Auricchio informa che </w:t>
      </w:r>
      <w:r w:rsidR="00240E9B">
        <w:rPr>
          <w:rFonts w:ascii="Times New Roman" w:eastAsia="Times New Roman" w:hAnsi="Times New Roman" w:cs="Times New Roman"/>
          <w:sz w:val="26"/>
          <w:szCs w:val="26"/>
        </w:rPr>
        <w:t xml:space="preserve">non sono state segnalate criticità </w:t>
      </w:r>
      <w:r w:rsidR="00370E5C">
        <w:rPr>
          <w:rFonts w:ascii="Times New Roman" w:eastAsia="Times New Roman" w:hAnsi="Times New Roman" w:cs="Times New Roman"/>
          <w:sz w:val="26"/>
          <w:szCs w:val="26"/>
        </w:rPr>
        <w:t xml:space="preserve">da parte degli Uffici </w:t>
      </w:r>
      <w:r w:rsidR="00240E9B">
        <w:rPr>
          <w:rFonts w:ascii="Times New Roman" w:eastAsia="Times New Roman" w:hAnsi="Times New Roman" w:cs="Times New Roman"/>
          <w:sz w:val="26"/>
          <w:szCs w:val="26"/>
        </w:rPr>
        <w:t>in merito alla rimessione in termini e conferma quanto già verbalizzato. Anche Litigio conferma che, al momento, non</w:t>
      </w:r>
      <w:r w:rsidRPr="00240E9B">
        <w:rPr>
          <w:rFonts w:ascii="Times New Roman" w:eastAsia="Times New Roman" w:hAnsi="Times New Roman" w:cs="Times New Roman"/>
          <w:sz w:val="26"/>
          <w:szCs w:val="26"/>
        </w:rPr>
        <w:t xml:space="preserve"> </w:t>
      </w:r>
      <w:r w:rsidR="00240E9B">
        <w:rPr>
          <w:rFonts w:ascii="Times New Roman" w:eastAsia="Times New Roman" w:hAnsi="Times New Roman" w:cs="Times New Roman"/>
          <w:sz w:val="26"/>
          <w:szCs w:val="26"/>
        </w:rPr>
        <w:t>risultano seg</w:t>
      </w:r>
      <w:r w:rsidR="00370E5C">
        <w:rPr>
          <w:rFonts w:ascii="Times New Roman" w:eastAsia="Times New Roman" w:hAnsi="Times New Roman" w:cs="Times New Roman"/>
          <w:sz w:val="26"/>
          <w:szCs w:val="26"/>
        </w:rPr>
        <w:t>nalazioni sulla questione da parte dei iscritti.</w:t>
      </w:r>
    </w:p>
    <w:p w14:paraId="4DAAD444" w14:textId="14457110" w:rsidR="00443508" w:rsidRPr="008136A1" w:rsidRDefault="009D121A" w:rsidP="008136A1">
      <w:pPr>
        <w:pStyle w:val="Paragrafoelenco"/>
        <w:numPr>
          <w:ilvl w:val="0"/>
          <w:numId w:val="0"/>
        </w:numPr>
        <w:spacing w:line="240" w:lineRule="auto"/>
        <w:ind w:left="426"/>
        <w:rPr>
          <w:rFonts w:ascii="Times New Roman" w:eastAsia="Times New Roman" w:hAnsi="Times New Roman" w:cs="Times New Roman"/>
          <w:sz w:val="26"/>
          <w:szCs w:val="26"/>
        </w:rPr>
      </w:pPr>
      <w:r w:rsidRPr="008136A1">
        <w:rPr>
          <w:rFonts w:ascii="Times New Roman" w:eastAsia="Times New Roman" w:hAnsi="Times New Roman" w:cs="Times New Roman"/>
          <w:sz w:val="26"/>
          <w:szCs w:val="26"/>
        </w:rPr>
        <w:t xml:space="preserve">Auricchio </w:t>
      </w:r>
      <w:r w:rsidR="00AC5E13" w:rsidRPr="008136A1">
        <w:rPr>
          <w:rFonts w:ascii="Times New Roman" w:eastAsia="Times New Roman" w:hAnsi="Times New Roman" w:cs="Times New Roman"/>
          <w:sz w:val="26"/>
          <w:szCs w:val="26"/>
        </w:rPr>
        <w:t>aggiunge c</w:t>
      </w:r>
      <w:r w:rsidRPr="008136A1">
        <w:rPr>
          <w:rFonts w:ascii="Times New Roman" w:eastAsia="Times New Roman" w:hAnsi="Times New Roman" w:cs="Times New Roman"/>
          <w:sz w:val="26"/>
          <w:szCs w:val="26"/>
        </w:rPr>
        <w:t xml:space="preserve">he </w:t>
      </w:r>
      <w:r w:rsidR="00240E9B" w:rsidRPr="008136A1">
        <w:rPr>
          <w:rFonts w:ascii="Times New Roman" w:eastAsia="Times New Roman" w:hAnsi="Times New Roman" w:cs="Times New Roman"/>
          <w:sz w:val="26"/>
          <w:szCs w:val="26"/>
        </w:rPr>
        <w:t xml:space="preserve">tutte le segnalazioni pervenute tramite </w:t>
      </w:r>
      <w:proofErr w:type="spellStart"/>
      <w:r w:rsidR="00240E9B" w:rsidRPr="008136A1">
        <w:rPr>
          <w:rFonts w:ascii="Times New Roman" w:eastAsia="Times New Roman" w:hAnsi="Times New Roman" w:cs="Times New Roman"/>
          <w:sz w:val="26"/>
          <w:szCs w:val="26"/>
        </w:rPr>
        <w:t>Codis</w:t>
      </w:r>
      <w:proofErr w:type="spellEnd"/>
      <w:r w:rsidR="008136A1">
        <w:rPr>
          <w:rFonts w:ascii="Times New Roman" w:eastAsia="Times New Roman" w:hAnsi="Times New Roman" w:cs="Times New Roman"/>
          <w:sz w:val="26"/>
          <w:szCs w:val="26"/>
        </w:rPr>
        <w:t>,</w:t>
      </w:r>
      <w:r w:rsidR="00240E9B" w:rsidRPr="008136A1">
        <w:rPr>
          <w:rFonts w:ascii="Times New Roman" w:eastAsia="Times New Roman" w:hAnsi="Times New Roman" w:cs="Times New Roman"/>
          <w:sz w:val="26"/>
          <w:szCs w:val="26"/>
        </w:rPr>
        <w:t xml:space="preserve"> relative ad istanze di sgravio su cartella da controllo automatizzato</w:t>
      </w:r>
      <w:r w:rsidR="008136A1">
        <w:rPr>
          <w:rFonts w:ascii="Times New Roman" w:eastAsia="Times New Roman" w:hAnsi="Times New Roman" w:cs="Times New Roman"/>
          <w:sz w:val="26"/>
          <w:szCs w:val="26"/>
        </w:rPr>
        <w:t>,</w:t>
      </w:r>
      <w:r w:rsidR="00240E9B" w:rsidRPr="008136A1">
        <w:rPr>
          <w:rFonts w:ascii="Times New Roman" w:eastAsia="Times New Roman" w:hAnsi="Times New Roman" w:cs="Times New Roman"/>
          <w:sz w:val="26"/>
          <w:szCs w:val="26"/>
        </w:rPr>
        <w:t xml:space="preserve"> sono state evase o sono in corso di evasione; precisa</w:t>
      </w:r>
      <w:r w:rsidR="008136A1">
        <w:rPr>
          <w:rFonts w:ascii="Times New Roman" w:eastAsia="Times New Roman" w:hAnsi="Times New Roman" w:cs="Times New Roman"/>
          <w:sz w:val="26"/>
          <w:szCs w:val="26"/>
        </w:rPr>
        <w:t>,</w:t>
      </w:r>
      <w:r w:rsidR="00240E9B" w:rsidRPr="008136A1">
        <w:rPr>
          <w:rFonts w:ascii="Times New Roman" w:eastAsia="Times New Roman" w:hAnsi="Times New Roman" w:cs="Times New Roman"/>
          <w:sz w:val="26"/>
          <w:szCs w:val="26"/>
        </w:rPr>
        <w:t xml:space="preserve"> inoltre</w:t>
      </w:r>
      <w:r w:rsidR="008136A1">
        <w:rPr>
          <w:rFonts w:ascii="Times New Roman" w:eastAsia="Times New Roman" w:hAnsi="Times New Roman" w:cs="Times New Roman"/>
          <w:sz w:val="26"/>
          <w:szCs w:val="26"/>
        </w:rPr>
        <w:t>,</w:t>
      </w:r>
      <w:r w:rsidR="00240E9B" w:rsidRPr="008136A1">
        <w:rPr>
          <w:rFonts w:ascii="Times New Roman" w:eastAsia="Times New Roman" w:hAnsi="Times New Roman" w:cs="Times New Roman"/>
          <w:sz w:val="26"/>
          <w:szCs w:val="26"/>
        </w:rPr>
        <w:t xml:space="preserve"> che in alcuni casi, qualora </w:t>
      </w:r>
      <w:r w:rsidR="008136A1">
        <w:rPr>
          <w:rFonts w:ascii="Times New Roman" w:eastAsia="Times New Roman" w:hAnsi="Times New Roman" w:cs="Times New Roman"/>
          <w:sz w:val="26"/>
          <w:szCs w:val="26"/>
        </w:rPr>
        <w:t>gli importi siano superiori a € 516.000</w:t>
      </w:r>
      <w:r w:rsidR="00240E9B" w:rsidRPr="008136A1">
        <w:rPr>
          <w:rFonts w:ascii="Times New Roman" w:eastAsia="Times New Roman" w:hAnsi="Times New Roman" w:cs="Times New Roman"/>
          <w:sz w:val="26"/>
          <w:szCs w:val="26"/>
        </w:rPr>
        <w:t>,</w:t>
      </w:r>
      <w:r w:rsidR="008136A1">
        <w:rPr>
          <w:rFonts w:ascii="Times New Roman" w:eastAsia="Times New Roman" w:hAnsi="Times New Roman" w:cs="Times New Roman"/>
          <w:sz w:val="26"/>
          <w:szCs w:val="26"/>
        </w:rPr>
        <w:t>00,</w:t>
      </w:r>
      <w:r w:rsidR="00240E9B" w:rsidRPr="008136A1">
        <w:rPr>
          <w:rFonts w:ascii="Times New Roman" w:eastAsia="Times New Roman" w:hAnsi="Times New Roman" w:cs="Times New Roman"/>
          <w:sz w:val="26"/>
          <w:szCs w:val="26"/>
        </w:rPr>
        <w:t xml:space="preserve"> è necessario il parere preventivo </w:t>
      </w:r>
      <w:r w:rsidR="0030210A" w:rsidRPr="006C5A3F">
        <w:rPr>
          <w:rFonts w:ascii="Times New Roman" w:eastAsia="Times New Roman" w:hAnsi="Times New Roman" w:cs="Times New Roman"/>
          <w:sz w:val="26"/>
          <w:szCs w:val="26"/>
        </w:rPr>
        <w:t>del</w:t>
      </w:r>
      <w:r w:rsidR="00240E9B" w:rsidRPr="006C5A3F">
        <w:rPr>
          <w:rFonts w:ascii="Times New Roman" w:eastAsia="Times New Roman" w:hAnsi="Times New Roman" w:cs="Times New Roman"/>
          <w:sz w:val="26"/>
          <w:szCs w:val="26"/>
        </w:rPr>
        <w:t>la</w:t>
      </w:r>
      <w:r w:rsidR="00240E9B" w:rsidRPr="008136A1">
        <w:rPr>
          <w:rFonts w:ascii="Times New Roman" w:eastAsia="Times New Roman" w:hAnsi="Times New Roman" w:cs="Times New Roman"/>
          <w:sz w:val="26"/>
          <w:szCs w:val="26"/>
        </w:rPr>
        <w:t xml:space="preserve"> Direzion</w:t>
      </w:r>
      <w:r w:rsidR="008136A1" w:rsidRPr="008136A1">
        <w:rPr>
          <w:rFonts w:ascii="Times New Roman" w:eastAsia="Times New Roman" w:hAnsi="Times New Roman" w:cs="Times New Roman"/>
          <w:sz w:val="26"/>
          <w:szCs w:val="26"/>
        </w:rPr>
        <w:t>e regionale</w:t>
      </w:r>
      <w:r w:rsidR="008136A1">
        <w:rPr>
          <w:rFonts w:ascii="Times New Roman" w:eastAsia="Times New Roman" w:hAnsi="Times New Roman" w:cs="Times New Roman"/>
          <w:sz w:val="26"/>
          <w:szCs w:val="26"/>
        </w:rPr>
        <w:t>,</w:t>
      </w:r>
      <w:r w:rsidR="008136A1" w:rsidRPr="008136A1">
        <w:rPr>
          <w:rFonts w:ascii="Times New Roman" w:eastAsia="Times New Roman" w:hAnsi="Times New Roman" w:cs="Times New Roman"/>
          <w:sz w:val="26"/>
          <w:szCs w:val="26"/>
        </w:rPr>
        <w:t xml:space="preserve"> così come previsto </w:t>
      </w:r>
      <w:r w:rsidR="008136A1">
        <w:rPr>
          <w:rFonts w:ascii="Times New Roman" w:eastAsia="Times New Roman" w:hAnsi="Times New Roman" w:cs="Times New Roman"/>
          <w:sz w:val="26"/>
          <w:szCs w:val="26"/>
        </w:rPr>
        <w:t>dal</w:t>
      </w:r>
      <w:r w:rsidR="008136A1" w:rsidRPr="008136A1">
        <w:rPr>
          <w:rFonts w:ascii="Times New Roman" w:eastAsia="Times New Roman" w:hAnsi="Times New Roman" w:cs="Times New Roman"/>
          <w:sz w:val="26"/>
          <w:szCs w:val="26"/>
        </w:rPr>
        <w:t>l’art. 4 del D.M.37/97</w:t>
      </w:r>
      <w:r w:rsidR="008136A1">
        <w:rPr>
          <w:rFonts w:ascii="Times New Roman" w:eastAsia="Times New Roman" w:hAnsi="Times New Roman" w:cs="Times New Roman"/>
          <w:sz w:val="26"/>
          <w:szCs w:val="26"/>
        </w:rPr>
        <w:t>;</w:t>
      </w:r>
      <w:r w:rsidR="00240E9B" w:rsidRPr="008136A1">
        <w:rPr>
          <w:rFonts w:ascii="Times New Roman" w:eastAsia="Times New Roman" w:hAnsi="Times New Roman" w:cs="Times New Roman"/>
          <w:sz w:val="26"/>
          <w:szCs w:val="26"/>
        </w:rPr>
        <w:t xml:space="preserve"> tale circostanza può comportare tempi più lunghi nel fornire un riscontro al contribuente.</w:t>
      </w:r>
    </w:p>
    <w:p w14:paraId="1C6A4393" w14:textId="5041D140" w:rsidR="00443508" w:rsidRPr="00443508" w:rsidRDefault="009D121A" w:rsidP="00733ADC">
      <w:pPr>
        <w:pStyle w:val="Paragrafoelenco"/>
        <w:numPr>
          <w:ilvl w:val="0"/>
          <w:numId w:val="14"/>
        </w:numPr>
        <w:spacing w:line="240" w:lineRule="auto"/>
        <w:ind w:left="426" w:hanging="426"/>
        <w:rPr>
          <w:rFonts w:ascii="Times New Roman" w:eastAsia="Times New Roman" w:hAnsi="Times New Roman" w:cs="Times New Roman"/>
          <w:sz w:val="26"/>
          <w:szCs w:val="26"/>
        </w:rPr>
      </w:pPr>
      <w:r w:rsidRPr="00443508">
        <w:rPr>
          <w:rFonts w:ascii="Times New Roman" w:eastAsia="Times New Roman" w:hAnsi="Times New Roman" w:cs="Times New Roman"/>
          <w:sz w:val="26"/>
          <w:szCs w:val="26"/>
        </w:rPr>
        <w:t xml:space="preserve">Gelosa interviene informando che </w:t>
      </w:r>
      <w:r w:rsidR="0072274B" w:rsidRPr="00443508">
        <w:rPr>
          <w:rFonts w:ascii="Times New Roman" w:eastAsia="Times New Roman" w:hAnsi="Times New Roman" w:cs="Times New Roman"/>
          <w:sz w:val="26"/>
          <w:szCs w:val="26"/>
        </w:rPr>
        <w:t>il tavolo</w:t>
      </w:r>
      <w:r w:rsidR="00AC5E13">
        <w:rPr>
          <w:rFonts w:ascii="Times New Roman" w:eastAsia="Times New Roman" w:hAnsi="Times New Roman" w:cs="Times New Roman"/>
          <w:sz w:val="26"/>
          <w:szCs w:val="26"/>
        </w:rPr>
        <w:t>,</w:t>
      </w:r>
      <w:r w:rsidR="0072274B" w:rsidRPr="00443508">
        <w:rPr>
          <w:rFonts w:ascii="Times New Roman" w:eastAsia="Times New Roman" w:hAnsi="Times New Roman" w:cs="Times New Roman"/>
          <w:sz w:val="26"/>
          <w:szCs w:val="26"/>
        </w:rPr>
        <w:t xml:space="preserve"> in passato, presumibilmente nel 2009, </w:t>
      </w:r>
      <w:r w:rsidRPr="00443508">
        <w:rPr>
          <w:rFonts w:ascii="Times New Roman" w:eastAsia="Times New Roman" w:hAnsi="Times New Roman" w:cs="Times New Roman"/>
          <w:sz w:val="26"/>
          <w:szCs w:val="26"/>
        </w:rPr>
        <w:t>aveva stipulato un</w:t>
      </w:r>
      <w:r w:rsidR="00443508">
        <w:rPr>
          <w:rFonts w:ascii="Times New Roman" w:eastAsia="Times New Roman" w:hAnsi="Times New Roman" w:cs="Times New Roman"/>
          <w:sz w:val="26"/>
          <w:szCs w:val="26"/>
        </w:rPr>
        <w:t>a</w:t>
      </w:r>
      <w:r w:rsidRPr="00443508">
        <w:rPr>
          <w:rFonts w:ascii="Times New Roman" w:eastAsia="Times New Roman" w:hAnsi="Times New Roman" w:cs="Times New Roman"/>
          <w:sz w:val="26"/>
          <w:szCs w:val="26"/>
        </w:rPr>
        <w:t xml:space="preserve"> convenzione con gli </w:t>
      </w:r>
      <w:r w:rsidR="0072274B" w:rsidRPr="00443508">
        <w:rPr>
          <w:rFonts w:ascii="Times New Roman" w:eastAsia="Times New Roman" w:hAnsi="Times New Roman" w:cs="Times New Roman"/>
          <w:sz w:val="26"/>
          <w:szCs w:val="26"/>
        </w:rPr>
        <w:t>O</w:t>
      </w:r>
      <w:r w:rsidR="008136A1">
        <w:rPr>
          <w:rFonts w:ascii="Times New Roman" w:eastAsia="Times New Roman" w:hAnsi="Times New Roman" w:cs="Times New Roman"/>
          <w:sz w:val="26"/>
          <w:szCs w:val="26"/>
        </w:rPr>
        <w:t xml:space="preserve">rdini lombardi per accelerare il rimborso di </w:t>
      </w:r>
      <w:r w:rsidRPr="00443508">
        <w:rPr>
          <w:rFonts w:ascii="Times New Roman" w:eastAsia="Times New Roman" w:hAnsi="Times New Roman" w:cs="Times New Roman"/>
          <w:sz w:val="26"/>
          <w:szCs w:val="26"/>
        </w:rPr>
        <w:t>crediti sopra i 500 mila e</w:t>
      </w:r>
      <w:r w:rsidR="0072274B" w:rsidRPr="00443508">
        <w:rPr>
          <w:rFonts w:ascii="Times New Roman" w:eastAsia="Times New Roman" w:hAnsi="Times New Roman" w:cs="Times New Roman"/>
          <w:sz w:val="26"/>
          <w:szCs w:val="26"/>
        </w:rPr>
        <w:t>u</w:t>
      </w:r>
      <w:r w:rsidRPr="00443508">
        <w:rPr>
          <w:rFonts w:ascii="Times New Roman" w:eastAsia="Times New Roman" w:hAnsi="Times New Roman" w:cs="Times New Roman"/>
          <w:sz w:val="26"/>
          <w:szCs w:val="26"/>
        </w:rPr>
        <w:t xml:space="preserve">ro che finivano in </w:t>
      </w:r>
      <w:r w:rsidR="0072274B" w:rsidRPr="00443508">
        <w:rPr>
          <w:rFonts w:ascii="Times New Roman" w:eastAsia="Times New Roman" w:hAnsi="Times New Roman" w:cs="Times New Roman"/>
          <w:sz w:val="26"/>
          <w:szCs w:val="26"/>
        </w:rPr>
        <w:t>DR</w:t>
      </w:r>
      <w:r w:rsidR="00AC5E13">
        <w:rPr>
          <w:rFonts w:ascii="Times New Roman" w:eastAsia="Times New Roman" w:hAnsi="Times New Roman" w:cs="Times New Roman"/>
          <w:sz w:val="26"/>
          <w:szCs w:val="26"/>
        </w:rPr>
        <w:t>,</w:t>
      </w:r>
      <w:r w:rsidR="0072274B" w:rsidRPr="00443508">
        <w:rPr>
          <w:rFonts w:ascii="Times New Roman" w:eastAsia="Times New Roman" w:hAnsi="Times New Roman" w:cs="Times New Roman"/>
          <w:sz w:val="26"/>
          <w:szCs w:val="26"/>
        </w:rPr>
        <w:t xml:space="preserve"> che può essere utile riprendere, per il punto sopra</w:t>
      </w:r>
      <w:r w:rsidRPr="00443508">
        <w:rPr>
          <w:rFonts w:ascii="Times New Roman" w:eastAsia="Times New Roman" w:hAnsi="Times New Roman" w:cs="Times New Roman"/>
          <w:sz w:val="26"/>
          <w:szCs w:val="26"/>
        </w:rPr>
        <w:t xml:space="preserve">. </w:t>
      </w:r>
      <w:r w:rsidR="0072274B" w:rsidRPr="00443508">
        <w:rPr>
          <w:rFonts w:ascii="Times New Roman" w:eastAsia="Times New Roman" w:hAnsi="Times New Roman" w:cs="Times New Roman"/>
          <w:sz w:val="26"/>
          <w:szCs w:val="26"/>
        </w:rPr>
        <w:t xml:space="preserve"> La convenzione </w:t>
      </w:r>
      <w:r w:rsidR="00443508" w:rsidRPr="00443508">
        <w:rPr>
          <w:rFonts w:ascii="Times New Roman" w:eastAsia="Times New Roman" w:hAnsi="Times New Roman" w:cs="Times New Roman"/>
          <w:sz w:val="26"/>
          <w:szCs w:val="26"/>
        </w:rPr>
        <w:t>riguardava i rimborsi</w:t>
      </w:r>
      <w:r w:rsidR="007417F3">
        <w:rPr>
          <w:rFonts w:ascii="Times New Roman" w:eastAsia="Times New Roman" w:hAnsi="Times New Roman" w:cs="Times New Roman"/>
          <w:sz w:val="26"/>
          <w:szCs w:val="26"/>
        </w:rPr>
        <w:t xml:space="preserve"> e </w:t>
      </w:r>
      <w:r w:rsidR="0072274B" w:rsidRPr="00443508">
        <w:rPr>
          <w:rFonts w:ascii="Times New Roman" w:eastAsia="Times New Roman" w:hAnsi="Times New Roman" w:cs="Times New Roman"/>
          <w:sz w:val="26"/>
          <w:szCs w:val="26"/>
        </w:rPr>
        <w:t>prevedeva un canale preferenziale</w:t>
      </w:r>
      <w:r w:rsidR="00443508" w:rsidRPr="00443508">
        <w:rPr>
          <w:rFonts w:ascii="Times New Roman" w:eastAsia="Times New Roman" w:hAnsi="Times New Roman" w:cs="Times New Roman"/>
          <w:sz w:val="26"/>
          <w:szCs w:val="26"/>
        </w:rPr>
        <w:t xml:space="preserve"> per la gestione.</w:t>
      </w:r>
    </w:p>
    <w:p w14:paraId="1D4CD520" w14:textId="78BB8E3F" w:rsidR="006C5A3F" w:rsidRPr="006C5A3F" w:rsidRDefault="009D121A" w:rsidP="009D121A">
      <w:pPr>
        <w:pStyle w:val="Paragrafoelenco"/>
        <w:numPr>
          <w:ilvl w:val="0"/>
          <w:numId w:val="14"/>
        </w:numPr>
        <w:spacing w:line="240" w:lineRule="auto"/>
        <w:ind w:left="426" w:hanging="426"/>
        <w:rPr>
          <w:rFonts w:ascii="Times New Roman" w:eastAsia="Times New Roman" w:hAnsi="Times New Roman" w:cs="Times New Roman"/>
          <w:strike/>
          <w:sz w:val="26"/>
          <w:szCs w:val="26"/>
        </w:rPr>
      </w:pPr>
      <w:r>
        <w:rPr>
          <w:rFonts w:ascii="Times New Roman" w:eastAsia="Times New Roman" w:hAnsi="Times New Roman" w:cs="Times New Roman"/>
          <w:sz w:val="26"/>
          <w:szCs w:val="26"/>
        </w:rPr>
        <w:t xml:space="preserve">Gelosa </w:t>
      </w:r>
      <w:r w:rsidRPr="006C5A3F">
        <w:rPr>
          <w:rFonts w:ascii="Times New Roman" w:eastAsia="Times New Roman" w:hAnsi="Times New Roman" w:cs="Times New Roman"/>
          <w:sz w:val="26"/>
          <w:szCs w:val="26"/>
        </w:rPr>
        <w:t xml:space="preserve">interviene per informare che la </w:t>
      </w:r>
      <w:r w:rsidR="008136A1" w:rsidRPr="006C5A3F">
        <w:rPr>
          <w:rFonts w:ascii="Times New Roman" w:eastAsia="Times New Roman" w:hAnsi="Times New Roman" w:cs="Times New Roman"/>
          <w:sz w:val="26"/>
          <w:szCs w:val="26"/>
        </w:rPr>
        <w:t>rimessione</w:t>
      </w:r>
      <w:r w:rsidRPr="006C5A3F">
        <w:rPr>
          <w:rFonts w:ascii="Times New Roman" w:eastAsia="Times New Roman" w:hAnsi="Times New Roman" w:cs="Times New Roman"/>
          <w:sz w:val="26"/>
          <w:szCs w:val="26"/>
        </w:rPr>
        <w:t xml:space="preserve"> </w:t>
      </w:r>
      <w:r w:rsidR="00F243EF" w:rsidRPr="006C5A3F">
        <w:rPr>
          <w:rFonts w:ascii="Times New Roman" w:eastAsia="Times New Roman" w:hAnsi="Times New Roman" w:cs="Times New Roman"/>
          <w:sz w:val="26"/>
          <w:szCs w:val="26"/>
        </w:rPr>
        <w:t>nei</w:t>
      </w:r>
      <w:r w:rsidRPr="006C5A3F">
        <w:rPr>
          <w:rFonts w:ascii="Times New Roman" w:eastAsia="Times New Roman" w:hAnsi="Times New Roman" w:cs="Times New Roman"/>
          <w:sz w:val="26"/>
          <w:szCs w:val="26"/>
        </w:rPr>
        <w:t xml:space="preserve"> termini </w:t>
      </w:r>
      <w:r w:rsidR="00233A78" w:rsidRPr="006C5A3F">
        <w:rPr>
          <w:rFonts w:ascii="Times New Roman" w:eastAsia="Times New Roman" w:hAnsi="Times New Roman" w:cs="Times New Roman"/>
          <w:sz w:val="26"/>
          <w:szCs w:val="26"/>
        </w:rPr>
        <w:t>adottata</w:t>
      </w:r>
      <w:r w:rsidR="002B5B3F" w:rsidRPr="006C5A3F">
        <w:rPr>
          <w:rFonts w:ascii="Times New Roman" w:eastAsia="Times New Roman" w:hAnsi="Times New Roman" w:cs="Times New Roman"/>
          <w:sz w:val="26"/>
          <w:szCs w:val="26"/>
        </w:rPr>
        <w:t xml:space="preserve"> in Lombardia</w:t>
      </w:r>
      <w:r w:rsidR="00233A78" w:rsidRPr="006C5A3F">
        <w:rPr>
          <w:rFonts w:ascii="Times New Roman" w:eastAsia="Times New Roman" w:hAnsi="Times New Roman" w:cs="Times New Roman"/>
          <w:sz w:val="26"/>
          <w:szCs w:val="26"/>
        </w:rPr>
        <w:t xml:space="preserve"> </w:t>
      </w:r>
      <w:r w:rsidR="0030210A" w:rsidRPr="006C5A3F">
        <w:rPr>
          <w:rFonts w:ascii="Times New Roman" w:eastAsia="Times New Roman" w:hAnsi="Times New Roman" w:cs="Times New Roman"/>
          <w:sz w:val="26"/>
          <w:szCs w:val="26"/>
        </w:rPr>
        <w:t>potrebbe essere</w:t>
      </w:r>
      <w:r>
        <w:rPr>
          <w:rFonts w:ascii="Times New Roman" w:eastAsia="Times New Roman" w:hAnsi="Times New Roman" w:cs="Times New Roman"/>
          <w:sz w:val="26"/>
          <w:szCs w:val="26"/>
        </w:rPr>
        <w:t xml:space="preserve"> estesa a livello nazionale. Inoltre</w:t>
      </w:r>
      <w:r w:rsidR="00233A78">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a</w:t>
      </w:r>
      <w:r w:rsidRPr="006C5A3F">
        <w:rPr>
          <w:rFonts w:ascii="Times New Roman" w:eastAsia="Times New Roman" w:hAnsi="Times New Roman" w:cs="Times New Roman"/>
          <w:sz w:val="26"/>
          <w:szCs w:val="26"/>
        </w:rPr>
        <w:t xml:space="preserve">nticipa </w:t>
      </w:r>
      <w:r w:rsidR="00145CFA" w:rsidRPr="006C5A3F">
        <w:rPr>
          <w:rFonts w:ascii="Times New Roman" w:eastAsia="Times New Roman" w:hAnsi="Times New Roman" w:cs="Times New Roman"/>
          <w:sz w:val="26"/>
          <w:szCs w:val="26"/>
        </w:rPr>
        <w:t xml:space="preserve">essere prossimo l’avvio </w:t>
      </w:r>
      <w:r w:rsidR="00233A78" w:rsidRPr="006C5A3F">
        <w:rPr>
          <w:rFonts w:ascii="Times New Roman" w:eastAsia="Times New Roman" w:hAnsi="Times New Roman" w:cs="Times New Roman"/>
          <w:sz w:val="26"/>
          <w:szCs w:val="26"/>
        </w:rPr>
        <w:t>d</w:t>
      </w:r>
      <w:r w:rsidR="00233A78" w:rsidRPr="00145CFA">
        <w:rPr>
          <w:rFonts w:ascii="Times New Roman" w:eastAsia="Times New Roman" w:hAnsi="Times New Roman" w:cs="Times New Roman"/>
          <w:sz w:val="26"/>
          <w:szCs w:val="26"/>
        </w:rPr>
        <w:t>el</w:t>
      </w:r>
      <w:r w:rsidR="00233A78">
        <w:rPr>
          <w:rFonts w:ascii="Times New Roman" w:eastAsia="Times New Roman" w:hAnsi="Times New Roman" w:cs="Times New Roman"/>
          <w:sz w:val="26"/>
          <w:szCs w:val="26"/>
        </w:rPr>
        <w:t xml:space="preserve">la </w:t>
      </w:r>
      <w:r>
        <w:rPr>
          <w:rFonts w:ascii="Times New Roman" w:eastAsia="Times New Roman" w:hAnsi="Times New Roman" w:cs="Times New Roman"/>
          <w:sz w:val="26"/>
          <w:szCs w:val="26"/>
        </w:rPr>
        <w:t xml:space="preserve">videochiamata </w:t>
      </w:r>
      <w:r w:rsidR="00233A78">
        <w:rPr>
          <w:rFonts w:ascii="Times New Roman" w:eastAsia="Times New Roman" w:hAnsi="Times New Roman" w:cs="Times New Roman"/>
          <w:sz w:val="26"/>
          <w:szCs w:val="26"/>
        </w:rPr>
        <w:t>nell’ambito dei servizi</w:t>
      </w:r>
      <w:r w:rsidR="006C5A3F">
        <w:rPr>
          <w:rFonts w:ascii="Times New Roman" w:eastAsia="Times New Roman" w:hAnsi="Times New Roman" w:cs="Times New Roman"/>
          <w:sz w:val="26"/>
          <w:szCs w:val="26"/>
        </w:rPr>
        <w:t>.</w:t>
      </w:r>
    </w:p>
    <w:p w14:paraId="4197B1CB" w14:textId="77777777" w:rsidR="008136A1" w:rsidRDefault="0030779E" w:rsidP="008136A1">
      <w:pPr>
        <w:pStyle w:val="Paragrafoelenco"/>
        <w:numPr>
          <w:ilvl w:val="0"/>
          <w:numId w:val="14"/>
        </w:numPr>
        <w:spacing w:line="240" w:lineRule="auto"/>
        <w:ind w:left="426" w:hanging="426"/>
        <w:rPr>
          <w:rFonts w:ascii="Times New Roman" w:eastAsia="Times New Roman" w:hAnsi="Times New Roman" w:cs="Times New Roman"/>
          <w:sz w:val="26"/>
          <w:szCs w:val="26"/>
        </w:rPr>
      </w:pPr>
      <w:r>
        <w:rPr>
          <w:rFonts w:ascii="Times New Roman" w:eastAsia="Times New Roman" w:hAnsi="Times New Roman" w:cs="Times New Roman"/>
          <w:sz w:val="26"/>
          <w:szCs w:val="26"/>
        </w:rPr>
        <w:t>Litigio chiede informazioni su casi segnalati su Milano</w:t>
      </w:r>
      <w:r w:rsidR="00233A78">
        <w:rPr>
          <w:rFonts w:ascii="Times New Roman" w:eastAsia="Times New Roman" w:hAnsi="Times New Roman" w:cs="Times New Roman"/>
          <w:sz w:val="26"/>
          <w:szCs w:val="26"/>
        </w:rPr>
        <w:t xml:space="preserve"> di</w:t>
      </w:r>
      <w:r>
        <w:rPr>
          <w:rFonts w:ascii="Times New Roman" w:eastAsia="Times New Roman" w:hAnsi="Times New Roman" w:cs="Times New Roman"/>
          <w:sz w:val="26"/>
          <w:szCs w:val="26"/>
        </w:rPr>
        <w:t xml:space="preserve"> </w:t>
      </w:r>
      <w:proofErr w:type="spellStart"/>
      <w:r w:rsidR="00284161">
        <w:rPr>
          <w:rFonts w:ascii="Times New Roman" w:eastAsia="Times New Roman" w:hAnsi="Times New Roman" w:cs="Times New Roman"/>
          <w:sz w:val="26"/>
          <w:szCs w:val="26"/>
        </w:rPr>
        <w:t>C</w:t>
      </w:r>
      <w:r>
        <w:rPr>
          <w:rFonts w:ascii="Times New Roman" w:eastAsia="Times New Roman" w:hAnsi="Times New Roman" w:cs="Times New Roman"/>
          <w:sz w:val="26"/>
          <w:szCs w:val="26"/>
        </w:rPr>
        <w:t>ivis</w:t>
      </w:r>
      <w:proofErr w:type="spellEnd"/>
      <w:r>
        <w:rPr>
          <w:rFonts w:ascii="Times New Roman" w:eastAsia="Times New Roman" w:hAnsi="Times New Roman" w:cs="Times New Roman"/>
          <w:sz w:val="26"/>
          <w:szCs w:val="26"/>
        </w:rPr>
        <w:t xml:space="preserve"> concluse con un diniego a cui è seguita un’autotutela</w:t>
      </w:r>
      <w:r w:rsidR="007417F3">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senza avere poi risposta all’istanza. Auricchio informa che le </w:t>
      </w:r>
      <w:proofErr w:type="spellStart"/>
      <w:r>
        <w:rPr>
          <w:rFonts w:ascii="Times New Roman" w:eastAsia="Times New Roman" w:hAnsi="Times New Roman" w:cs="Times New Roman"/>
          <w:sz w:val="26"/>
          <w:szCs w:val="26"/>
        </w:rPr>
        <w:t>pec</w:t>
      </w:r>
      <w:proofErr w:type="spellEnd"/>
      <w:r>
        <w:rPr>
          <w:rFonts w:ascii="Times New Roman" w:eastAsia="Times New Roman" w:hAnsi="Times New Roman" w:cs="Times New Roman"/>
          <w:sz w:val="26"/>
          <w:szCs w:val="26"/>
        </w:rPr>
        <w:t xml:space="preserve"> non sono tracciabili come le </w:t>
      </w:r>
      <w:proofErr w:type="spellStart"/>
      <w:r w:rsidR="00233A78">
        <w:rPr>
          <w:rFonts w:ascii="Times New Roman" w:eastAsia="Times New Roman" w:hAnsi="Times New Roman" w:cs="Times New Roman"/>
          <w:sz w:val="26"/>
          <w:szCs w:val="26"/>
        </w:rPr>
        <w:t>Civis</w:t>
      </w:r>
      <w:proofErr w:type="spellEnd"/>
      <w:r w:rsidR="00233A78">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Avendo pot</w:t>
      </w:r>
      <w:r w:rsidR="008136A1">
        <w:rPr>
          <w:rFonts w:ascii="Times New Roman" w:eastAsia="Times New Roman" w:hAnsi="Times New Roman" w:cs="Times New Roman"/>
          <w:sz w:val="26"/>
          <w:szCs w:val="26"/>
        </w:rPr>
        <w:t xml:space="preserve">enziato il canale </w:t>
      </w:r>
      <w:proofErr w:type="spellStart"/>
      <w:r w:rsidR="008136A1">
        <w:rPr>
          <w:rFonts w:ascii="Times New Roman" w:eastAsia="Times New Roman" w:hAnsi="Times New Roman" w:cs="Times New Roman"/>
          <w:sz w:val="26"/>
          <w:szCs w:val="26"/>
        </w:rPr>
        <w:t>Civis</w:t>
      </w:r>
      <w:proofErr w:type="spellEnd"/>
      <w:r w:rsidR="008136A1">
        <w:rPr>
          <w:rFonts w:ascii="Times New Roman" w:eastAsia="Times New Roman" w:hAnsi="Times New Roman" w:cs="Times New Roman"/>
          <w:sz w:val="26"/>
          <w:szCs w:val="26"/>
        </w:rPr>
        <w:t xml:space="preserve">, dando priorità </w:t>
      </w:r>
      <w:r w:rsidR="008136A1">
        <w:rPr>
          <w:rFonts w:ascii="Times New Roman" w:eastAsia="Times New Roman" w:hAnsi="Times New Roman" w:cs="Times New Roman"/>
          <w:sz w:val="26"/>
          <w:szCs w:val="26"/>
        </w:rPr>
        <w:lastRenderedPageBreak/>
        <w:t xml:space="preserve">alla lavorazione delle istanze pervenute tramite tale canale, la lavorazione di quelle pervenute via </w:t>
      </w:r>
      <w:proofErr w:type="spellStart"/>
      <w:r w:rsidR="008136A1">
        <w:rPr>
          <w:rFonts w:ascii="Times New Roman" w:eastAsia="Times New Roman" w:hAnsi="Times New Roman" w:cs="Times New Roman"/>
          <w:sz w:val="26"/>
          <w:szCs w:val="26"/>
        </w:rPr>
        <w:t>pec</w:t>
      </w:r>
      <w:proofErr w:type="spellEnd"/>
      <w:r w:rsidR="008136A1">
        <w:rPr>
          <w:rFonts w:ascii="Times New Roman" w:eastAsia="Times New Roman" w:hAnsi="Times New Roman" w:cs="Times New Roman"/>
          <w:sz w:val="26"/>
          <w:szCs w:val="26"/>
        </w:rPr>
        <w:t xml:space="preserve"> ha subito un ritardo.</w:t>
      </w:r>
    </w:p>
    <w:p w14:paraId="426CC7F5" w14:textId="5AB15DC2" w:rsidR="00145CFA" w:rsidRPr="006C5A3F" w:rsidRDefault="00C13569" w:rsidP="006C5A3F">
      <w:pPr>
        <w:pStyle w:val="Paragrafoelenco"/>
        <w:numPr>
          <w:ilvl w:val="0"/>
          <w:numId w:val="14"/>
        </w:numPr>
        <w:ind w:left="426" w:hanging="426"/>
        <w:rPr>
          <w:rFonts w:ascii="Times New Roman" w:hAnsi="Times New Roman" w:cs="Times New Roman"/>
          <w:sz w:val="26"/>
          <w:szCs w:val="26"/>
        </w:rPr>
      </w:pPr>
      <w:r w:rsidRPr="008136A1">
        <w:rPr>
          <w:rFonts w:ascii="Times New Roman" w:hAnsi="Times New Roman" w:cs="Times New Roman"/>
          <w:sz w:val="26"/>
          <w:szCs w:val="26"/>
        </w:rPr>
        <w:t>Litigio chiede un ag</w:t>
      </w:r>
      <w:r w:rsidR="005E61BD" w:rsidRPr="008136A1">
        <w:rPr>
          <w:rFonts w:ascii="Times New Roman" w:hAnsi="Times New Roman" w:cs="Times New Roman"/>
          <w:sz w:val="26"/>
          <w:szCs w:val="26"/>
        </w:rPr>
        <w:t>giornamento sulle irregolarità “formali” nell’apposizione del visto di conformità alla luce delle pronunce giurisprudenziali</w:t>
      </w:r>
      <w:r w:rsidRPr="008136A1">
        <w:rPr>
          <w:rFonts w:ascii="Times New Roman" w:hAnsi="Times New Roman" w:cs="Times New Roman"/>
          <w:sz w:val="26"/>
          <w:szCs w:val="26"/>
        </w:rPr>
        <w:t xml:space="preserve">. </w:t>
      </w:r>
      <w:proofErr w:type="spellStart"/>
      <w:r w:rsidRPr="006C5A3F">
        <w:rPr>
          <w:rFonts w:ascii="Times New Roman" w:hAnsi="Times New Roman" w:cs="Times New Roman"/>
          <w:sz w:val="26"/>
          <w:szCs w:val="26"/>
        </w:rPr>
        <w:t>Orabona</w:t>
      </w:r>
      <w:proofErr w:type="spellEnd"/>
      <w:r w:rsidRPr="006C5A3F">
        <w:rPr>
          <w:rFonts w:ascii="Times New Roman" w:hAnsi="Times New Roman" w:cs="Times New Roman"/>
          <w:sz w:val="26"/>
          <w:szCs w:val="26"/>
        </w:rPr>
        <w:t xml:space="preserve"> </w:t>
      </w:r>
      <w:r w:rsidR="00145CFA" w:rsidRPr="006C5A3F">
        <w:rPr>
          <w:rFonts w:ascii="Times New Roman" w:hAnsi="Times New Roman" w:cs="Times New Roman"/>
          <w:sz w:val="26"/>
          <w:szCs w:val="26"/>
        </w:rPr>
        <w:t>conferma quanto al riguardo verbalizzato in data 24 gennaio 2022 e</w:t>
      </w:r>
      <w:r w:rsidR="006C5A3F" w:rsidRPr="006C5A3F">
        <w:rPr>
          <w:rFonts w:ascii="Times New Roman" w:hAnsi="Times New Roman" w:cs="Times New Roman"/>
          <w:sz w:val="26"/>
          <w:szCs w:val="26"/>
        </w:rPr>
        <w:t xml:space="preserve"> richiama le stesse istruzioni ai modelli dichiarativi approvati il 31 gennaio u.s. in cui si ribadisce che il visto che non si considera validamente rilasciato anche nel caso in cui il professionista che lo rilascia non risulta nell’elenco dei soggetti abilitati tenuto dalle competenti Direzioni regionali</w:t>
      </w:r>
      <w:r w:rsidR="00BC5161">
        <w:rPr>
          <w:rFonts w:ascii="Times New Roman" w:hAnsi="Times New Roman" w:cs="Times New Roman"/>
          <w:sz w:val="26"/>
          <w:szCs w:val="26"/>
        </w:rPr>
        <w:t>.</w:t>
      </w:r>
    </w:p>
    <w:p w14:paraId="56563470" w14:textId="4303E255" w:rsidR="0041437F" w:rsidRPr="006C5A3F" w:rsidRDefault="00BA4139" w:rsidP="006C5A3F">
      <w:pPr>
        <w:pStyle w:val="Paragrafoelenco"/>
        <w:numPr>
          <w:ilvl w:val="0"/>
          <w:numId w:val="14"/>
        </w:numPr>
        <w:spacing w:line="240" w:lineRule="auto"/>
        <w:ind w:left="426" w:hanging="426"/>
        <w:rPr>
          <w:rFonts w:ascii="Times New Roman" w:hAnsi="Times New Roman" w:cs="Times New Roman"/>
          <w:sz w:val="26"/>
          <w:szCs w:val="26"/>
        </w:rPr>
      </w:pPr>
      <w:r w:rsidRPr="006C5A3F">
        <w:rPr>
          <w:rFonts w:ascii="Times New Roman" w:hAnsi="Times New Roman" w:cs="Times New Roman"/>
          <w:sz w:val="26"/>
          <w:szCs w:val="26"/>
        </w:rPr>
        <w:t xml:space="preserve">Beltrame segnala il caso di un professionista che risulta aver apposto il visto su due dichiarazioni fiscali </w:t>
      </w:r>
      <w:r w:rsidR="00233A78" w:rsidRPr="006C5A3F">
        <w:rPr>
          <w:rFonts w:ascii="Times New Roman" w:hAnsi="Times New Roman" w:cs="Times New Roman"/>
          <w:sz w:val="26"/>
          <w:szCs w:val="26"/>
        </w:rPr>
        <w:t xml:space="preserve">e risegnala </w:t>
      </w:r>
      <w:r w:rsidRPr="006C5A3F">
        <w:rPr>
          <w:rFonts w:ascii="Times New Roman" w:hAnsi="Times New Roman" w:cs="Times New Roman"/>
          <w:sz w:val="26"/>
          <w:szCs w:val="26"/>
        </w:rPr>
        <w:t>il problema dell’apposizione fraudolenta di visti</w:t>
      </w:r>
      <w:r w:rsidR="00233A78" w:rsidRPr="006C5A3F">
        <w:rPr>
          <w:rFonts w:ascii="Times New Roman" w:hAnsi="Times New Roman" w:cs="Times New Roman"/>
          <w:sz w:val="26"/>
          <w:szCs w:val="26"/>
        </w:rPr>
        <w:t>,</w:t>
      </w:r>
      <w:r w:rsidRPr="006C5A3F">
        <w:rPr>
          <w:rFonts w:ascii="Times New Roman" w:hAnsi="Times New Roman" w:cs="Times New Roman"/>
          <w:sz w:val="26"/>
          <w:szCs w:val="26"/>
        </w:rPr>
        <w:t xml:space="preserve"> sollevato in passato. Chiede un riscontro circa la possibilità che il professionista riceva un messaggio quando viene apposto un visto</w:t>
      </w:r>
      <w:r w:rsidR="0041437F" w:rsidRPr="006C5A3F">
        <w:rPr>
          <w:rFonts w:ascii="Times New Roman" w:hAnsi="Times New Roman" w:cs="Times New Roman"/>
          <w:sz w:val="26"/>
          <w:szCs w:val="26"/>
        </w:rPr>
        <w:t xml:space="preserve"> trasmesso da un soggetto terzo</w:t>
      </w:r>
      <w:r w:rsidRPr="006C5A3F">
        <w:rPr>
          <w:rFonts w:ascii="Times New Roman" w:hAnsi="Times New Roman" w:cs="Times New Roman"/>
          <w:sz w:val="26"/>
          <w:szCs w:val="26"/>
        </w:rPr>
        <w:t>.</w:t>
      </w:r>
      <w:r w:rsidRPr="008136A1">
        <w:t xml:space="preserve"> </w:t>
      </w:r>
    </w:p>
    <w:p w14:paraId="766AD3D3" w14:textId="188456BB" w:rsidR="008136A1" w:rsidRPr="008136A1" w:rsidRDefault="00BA4139" w:rsidP="008136A1">
      <w:pPr>
        <w:numPr>
          <w:ilvl w:val="0"/>
          <w:numId w:val="0"/>
        </w:numPr>
        <w:spacing w:line="240" w:lineRule="auto"/>
        <w:ind w:left="426"/>
      </w:pPr>
      <w:r w:rsidRPr="008136A1">
        <w:t xml:space="preserve">Auricchio informa che in questi casi è necessario fare la denuncia e informare </w:t>
      </w:r>
      <w:r w:rsidR="0041437F">
        <w:t>l’Ufficio Servizi fiscali per i necessari approfondimenti e le segnalazioni dei</w:t>
      </w:r>
      <w:r w:rsidR="008136A1" w:rsidRPr="008136A1">
        <w:t xml:space="preserve"> modelli dichiarativi</w:t>
      </w:r>
      <w:r w:rsidR="0041437F">
        <w:t xml:space="preserve"> oggetto di denuncia</w:t>
      </w:r>
      <w:r w:rsidRPr="008136A1">
        <w:t xml:space="preserve">. </w:t>
      </w:r>
      <w:r w:rsidR="00EA7A99" w:rsidRPr="008136A1">
        <w:t xml:space="preserve">Gelosa </w:t>
      </w:r>
      <w:r w:rsidR="00233A78" w:rsidRPr="008136A1">
        <w:t>ribadisce</w:t>
      </w:r>
      <w:r w:rsidR="00EA7A99" w:rsidRPr="008136A1">
        <w:t xml:space="preserve"> che segnalerà l</w:t>
      </w:r>
      <w:r w:rsidR="00233A78" w:rsidRPr="008136A1">
        <w:t>a</w:t>
      </w:r>
      <w:r w:rsidR="00EA7A99" w:rsidRPr="008136A1">
        <w:t xml:space="preserve"> problematica al centro</w:t>
      </w:r>
      <w:r w:rsidR="00233A78" w:rsidRPr="008136A1">
        <w:t>.</w:t>
      </w:r>
    </w:p>
    <w:p w14:paraId="28B96977" w14:textId="4D91CB6D" w:rsidR="008136A1" w:rsidRDefault="00EA7A99" w:rsidP="008136A1">
      <w:pPr>
        <w:pStyle w:val="Paragrafoelenco"/>
        <w:numPr>
          <w:ilvl w:val="0"/>
          <w:numId w:val="14"/>
        </w:numPr>
        <w:spacing w:line="240" w:lineRule="auto"/>
        <w:ind w:left="426" w:hanging="426"/>
        <w:rPr>
          <w:rFonts w:ascii="Times New Roman" w:hAnsi="Times New Roman" w:cs="Times New Roman"/>
          <w:sz w:val="26"/>
          <w:szCs w:val="26"/>
        </w:rPr>
      </w:pPr>
      <w:r w:rsidRPr="008136A1">
        <w:rPr>
          <w:rFonts w:ascii="Times New Roman" w:hAnsi="Times New Roman" w:cs="Times New Roman"/>
          <w:sz w:val="26"/>
          <w:szCs w:val="26"/>
        </w:rPr>
        <w:t xml:space="preserve">Litigio interviene </w:t>
      </w:r>
      <w:r w:rsidR="00233A78" w:rsidRPr="008136A1">
        <w:rPr>
          <w:rFonts w:ascii="Times New Roman" w:hAnsi="Times New Roman" w:cs="Times New Roman"/>
          <w:sz w:val="26"/>
          <w:szCs w:val="26"/>
        </w:rPr>
        <w:t>segnalando due</w:t>
      </w:r>
      <w:r w:rsidRPr="008136A1">
        <w:rPr>
          <w:rFonts w:ascii="Times New Roman" w:hAnsi="Times New Roman" w:cs="Times New Roman"/>
          <w:sz w:val="26"/>
          <w:szCs w:val="26"/>
        </w:rPr>
        <w:t xml:space="preserve"> avvisi di accertamento inviat</w:t>
      </w:r>
      <w:r w:rsidR="00233A78" w:rsidRPr="008136A1">
        <w:rPr>
          <w:rFonts w:ascii="Times New Roman" w:hAnsi="Times New Roman" w:cs="Times New Roman"/>
          <w:sz w:val="26"/>
          <w:szCs w:val="26"/>
        </w:rPr>
        <w:t>i</w:t>
      </w:r>
      <w:r w:rsidRPr="008136A1">
        <w:rPr>
          <w:rFonts w:ascii="Times New Roman" w:hAnsi="Times New Roman" w:cs="Times New Roman"/>
          <w:sz w:val="26"/>
          <w:szCs w:val="26"/>
        </w:rPr>
        <w:t xml:space="preserve"> </w:t>
      </w:r>
      <w:r w:rsidR="000F47F5" w:rsidRPr="008136A1">
        <w:rPr>
          <w:rFonts w:ascii="Times New Roman" w:hAnsi="Times New Roman" w:cs="Times New Roman"/>
          <w:sz w:val="26"/>
          <w:szCs w:val="26"/>
        </w:rPr>
        <w:t>rispettivamente</w:t>
      </w:r>
      <w:r w:rsidRPr="008136A1">
        <w:rPr>
          <w:rFonts w:ascii="Times New Roman" w:hAnsi="Times New Roman" w:cs="Times New Roman"/>
          <w:sz w:val="26"/>
          <w:szCs w:val="26"/>
        </w:rPr>
        <w:t xml:space="preserve"> con una richiesta di 6 cent</w:t>
      </w:r>
      <w:r w:rsidR="00233A78" w:rsidRPr="008136A1">
        <w:rPr>
          <w:rFonts w:ascii="Times New Roman" w:hAnsi="Times New Roman" w:cs="Times New Roman"/>
          <w:sz w:val="26"/>
          <w:szCs w:val="26"/>
        </w:rPr>
        <w:t>esimi</w:t>
      </w:r>
      <w:r w:rsidRPr="008136A1">
        <w:rPr>
          <w:rFonts w:ascii="Times New Roman" w:hAnsi="Times New Roman" w:cs="Times New Roman"/>
          <w:sz w:val="26"/>
          <w:szCs w:val="26"/>
        </w:rPr>
        <w:t xml:space="preserve"> e </w:t>
      </w:r>
      <w:r w:rsidR="00233A78" w:rsidRPr="008136A1">
        <w:rPr>
          <w:rFonts w:ascii="Times New Roman" w:hAnsi="Times New Roman" w:cs="Times New Roman"/>
          <w:sz w:val="26"/>
          <w:szCs w:val="26"/>
        </w:rPr>
        <w:t>di</w:t>
      </w:r>
      <w:r w:rsidRPr="008136A1">
        <w:rPr>
          <w:rFonts w:ascii="Times New Roman" w:hAnsi="Times New Roman" w:cs="Times New Roman"/>
          <w:sz w:val="26"/>
          <w:szCs w:val="26"/>
        </w:rPr>
        <w:t xml:space="preserve"> 0 cent</w:t>
      </w:r>
      <w:r w:rsidR="00233A78" w:rsidRPr="008136A1">
        <w:rPr>
          <w:rFonts w:ascii="Times New Roman" w:hAnsi="Times New Roman" w:cs="Times New Roman"/>
          <w:sz w:val="26"/>
          <w:szCs w:val="26"/>
        </w:rPr>
        <w:t xml:space="preserve">esimi e </w:t>
      </w:r>
      <w:r w:rsidR="00AC5E13" w:rsidRPr="008136A1">
        <w:rPr>
          <w:rFonts w:ascii="Times New Roman" w:hAnsi="Times New Roman" w:cs="Times New Roman"/>
          <w:sz w:val="26"/>
          <w:szCs w:val="26"/>
        </w:rPr>
        <w:t xml:space="preserve">chiede conferma del fatto </w:t>
      </w:r>
      <w:r w:rsidR="00233A78" w:rsidRPr="008136A1">
        <w:rPr>
          <w:rFonts w:ascii="Times New Roman" w:hAnsi="Times New Roman" w:cs="Times New Roman"/>
          <w:sz w:val="26"/>
          <w:szCs w:val="26"/>
        </w:rPr>
        <w:t>che d</w:t>
      </w:r>
      <w:r w:rsidRPr="008136A1">
        <w:rPr>
          <w:rFonts w:ascii="Times New Roman" w:hAnsi="Times New Roman" w:cs="Times New Roman"/>
          <w:sz w:val="26"/>
          <w:szCs w:val="26"/>
        </w:rPr>
        <w:t>ovrebbe esser</w:t>
      </w:r>
      <w:r w:rsidR="00233A78" w:rsidRPr="008136A1">
        <w:rPr>
          <w:rFonts w:ascii="Times New Roman" w:hAnsi="Times New Roman" w:cs="Times New Roman"/>
          <w:sz w:val="26"/>
          <w:szCs w:val="26"/>
        </w:rPr>
        <w:t>c</w:t>
      </w:r>
      <w:r w:rsidRPr="008136A1">
        <w:rPr>
          <w:rFonts w:ascii="Times New Roman" w:hAnsi="Times New Roman" w:cs="Times New Roman"/>
          <w:sz w:val="26"/>
          <w:szCs w:val="26"/>
        </w:rPr>
        <w:t xml:space="preserve">i un sistema bloccante sotto un certo importo. </w:t>
      </w:r>
      <w:r w:rsidR="00233A78" w:rsidRPr="008136A1">
        <w:rPr>
          <w:rFonts w:ascii="Times New Roman" w:hAnsi="Times New Roman" w:cs="Times New Roman"/>
          <w:sz w:val="26"/>
          <w:szCs w:val="26"/>
        </w:rPr>
        <w:t xml:space="preserve">Viene inoltre segnalato un </w:t>
      </w:r>
      <w:r w:rsidRPr="008136A1">
        <w:rPr>
          <w:rFonts w:ascii="Times New Roman" w:hAnsi="Times New Roman" w:cs="Times New Roman"/>
          <w:sz w:val="26"/>
          <w:szCs w:val="26"/>
        </w:rPr>
        <w:t xml:space="preserve">accertamento sul </w:t>
      </w:r>
      <w:r w:rsidR="00233A78" w:rsidRPr="008136A1">
        <w:rPr>
          <w:rFonts w:ascii="Times New Roman" w:hAnsi="Times New Roman" w:cs="Times New Roman"/>
          <w:sz w:val="26"/>
          <w:szCs w:val="26"/>
        </w:rPr>
        <w:t>TP</w:t>
      </w:r>
      <w:r w:rsidR="0072274B" w:rsidRPr="008136A1">
        <w:rPr>
          <w:rFonts w:ascii="Times New Roman" w:hAnsi="Times New Roman" w:cs="Times New Roman"/>
          <w:sz w:val="26"/>
          <w:szCs w:val="26"/>
        </w:rPr>
        <w:t xml:space="preserve"> di</w:t>
      </w:r>
      <w:r w:rsidR="007809A6">
        <w:rPr>
          <w:rFonts w:ascii="Times New Roman" w:hAnsi="Times New Roman" w:cs="Times New Roman"/>
          <w:sz w:val="26"/>
          <w:szCs w:val="26"/>
        </w:rPr>
        <w:t xml:space="preserve"> </w:t>
      </w:r>
      <w:r w:rsidRPr="008136A1">
        <w:rPr>
          <w:rFonts w:ascii="Times New Roman" w:hAnsi="Times New Roman" w:cs="Times New Roman"/>
          <w:sz w:val="26"/>
          <w:szCs w:val="26"/>
        </w:rPr>
        <w:t>17 pagine a</w:t>
      </w:r>
      <w:r w:rsidR="0072274B" w:rsidRPr="008136A1">
        <w:rPr>
          <w:rFonts w:ascii="Times New Roman" w:hAnsi="Times New Roman" w:cs="Times New Roman"/>
          <w:sz w:val="26"/>
          <w:szCs w:val="26"/>
        </w:rPr>
        <w:t xml:space="preserve"> una</w:t>
      </w:r>
      <w:r w:rsidRPr="008136A1">
        <w:rPr>
          <w:rFonts w:ascii="Times New Roman" w:hAnsi="Times New Roman" w:cs="Times New Roman"/>
          <w:sz w:val="26"/>
          <w:szCs w:val="26"/>
        </w:rPr>
        <w:t xml:space="preserve"> </w:t>
      </w:r>
      <w:r w:rsidR="0072274B" w:rsidRPr="008136A1">
        <w:rPr>
          <w:rFonts w:ascii="Times New Roman" w:hAnsi="Times New Roman" w:cs="Times New Roman"/>
          <w:sz w:val="26"/>
          <w:szCs w:val="26"/>
        </w:rPr>
        <w:t>SRL</w:t>
      </w:r>
      <w:r w:rsidR="007809A6">
        <w:rPr>
          <w:rFonts w:ascii="Times New Roman" w:hAnsi="Times New Roman" w:cs="Times New Roman"/>
          <w:sz w:val="26"/>
          <w:szCs w:val="26"/>
        </w:rPr>
        <w:t xml:space="preserve"> </w:t>
      </w:r>
      <w:r w:rsidRPr="008136A1">
        <w:rPr>
          <w:rFonts w:ascii="Times New Roman" w:hAnsi="Times New Roman" w:cs="Times New Roman"/>
          <w:sz w:val="26"/>
          <w:szCs w:val="26"/>
        </w:rPr>
        <w:t>con un imponibile</w:t>
      </w:r>
      <w:r w:rsidR="0072274B" w:rsidRPr="008136A1">
        <w:rPr>
          <w:rFonts w:ascii="Times New Roman" w:hAnsi="Times New Roman" w:cs="Times New Roman"/>
          <w:sz w:val="26"/>
          <w:szCs w:val="26"/>
        </w:rPr>
        <w:t xml:space="preserve"> IRES</w:t>
      </w:r>
      <w:r w:rsidRPr="008136A1">
        <w:rPr>
          <w:rFonts w:ascii="Times New Roman" w:hAnsi="Times New Roman" w:cs="Times New Roman"/>
          <w:sz w:val="26"/>
          <w:szCs w:val="26"/>
        </w:rPr>
        <w:t xml:space="preserve"> di 6 euro e uno di 2 euro che</w:t>
      </w:r>
      <w:r w:rsidR="007809A6">
        <w:rPr>
          <w:rFonts w:ascii="Times New Roman" w:hAnsi="Times New Roman" w:cs="Times New Roman"/>
          <w:sz w:val="26"/>
          <w:szCs w:val="26"/>
        </w:rPr>
        <w:t xml:space="preserve"> non</w:t>
      </w:r>
      <w:r w:rsidRPr="008136A1">
        <w:rPr>
          <w:rFonts w:ascii="Times New Roman" w:hAnsi="Times New Roman" w:cs="Times New Roman"/>
          <w:sz w:val="26"/>
          <w:szCs w:val="26"/>
        </w:rPr>
        <w:t xml:space="preserve"> generano imposta e sanzione</w:t>
      </w:r>
      <w:r w:rsidR="0072274B" w:rsidRPr="008136A1">
        <w:rPr>
          <w:rFonts w:ascii="Times New Roman" w:hAnsi="Times New Roman" w:cs="Times New Roman"/>
          <w:sz w:val="26"/>
          <w:szCs w:val="26"/>
        </w:rPr>
        <w:t>,</w:t>
      </w:r>
      <w:r w:rsidRPr="008136A1">
        <w:rPr>
          <w:rFonts w:ascii="Times New Roman" w:hAnsi="Times New Roman" w:cs="Times New Roman"/>
          <w:sz w:val="26"/>
          <w:szCs w:val="26"/>
        </w:rPr>
        <w:t xml:space="preserve"> ma 8 euro </w:t>
      </w:r>
      <w:r w:rsidR="0072274B" w:rsidRPr="008136A1">
        <w:rPr>
          <w:rFonts w:ascii="Times New Roman" w:hAnsi="Times New Roman" w:cs="Times New Roman"/>
          <w:sz w:val="26"/>
          <w:szCs w:val="26"/>
        </w:rPr>
        <w:t xml:space="preserve">di </w:t>
      </w:r>
      <w:r w:rsidRPr="008136A1">
        <w:rPr>
          <w:rFonts w:ascii="Times New Roman" w:hAnsi="Times New Roman" w:cs="Times New Roman"/>
          <w:sz w:val="26"/>
          <w:szCs w:val="26"/>
        </w:rPr>
        <w:t xml:space="preserve">spese di notifica. </w:t>
      </w:r>
      <w:proofErr w:type="gramStart"/>
      <w:r w:rsidR="007809A6">
        <w:rPr>
          <w:rFonts w:ascii="Times New Roman" w:hAnsi="Times New Roman" w:cs="Times New Roman"/>
          <w:sz w:val="26"/>
          <w:szCs w:val="26"/>
        </w:rPr>
        <w:t>E’</w:t>
      </w:r>
      <w:proofErr w:type="gramEnd"/>
      <w:r w:rsidR="007809A6">
        <w:rPr>
          <w:rFonts w:ascii="Times New Roman" w:hAnsi="Times New Roman" w:cs="Times New Roman"/>
          <w:sz w:val="26"/>
          <w:szCs w:val="26"/>
        </w:rPr>
        <w:t xml:space="preserve"> segnalato </w:t>
      </w:r>
      <w:r w:rsidR="000F47F5" w:rsidRPr="008136A1">
        <w:rPr>
          <w:rFonts w:ascii="Times New Roman" w:hAnsi="Times New Roman" w:cs="Times New Roman"/>
          <w:sz w:val="26"/>
          <w:szCs w:val="26"/>
        </w:rPr>
        <w:t>che i</w:t>
      </w:r>
      <w:r w:rsidRPr="008136A1">
        <w:rPr>
          <w:rFonts w:ascii="Times New Roman" w:hAnsi="Times New Roman" w:cs="Times New Roman"/>
          <w:sz w:val="26"/>
          <w:szCs w:val="26"/>
        </w:rPr>
        <w:t xml:space="preserve">l funzionario </w:t>
      </w:r>
      <w:r w:rsidR="000F47F5" w:rsidRPr="008136A1">
        <w:rPr>
          <w:rFonts w:ascii="Times New Roman" w:hAnsi="Times New Roman" w:cs="Times New Roman"/>
          <w:sz w:val="26"/>
          <w:szCs w:val="26"/>
        </w:rPr>
        <w:t xml:space="preserve">avrebbe </w:t>
      </w:r>
      <w:r w:rsidRPr="008136A1">
        <w:rPr>
          <w:rFonts w:ascii="Times New Roman" w:hAnsi="Times New Roman" w:cs="Times New Roman"/>
          <w:sz w:val="26"/>
          <w:szCs w:val="26"/>
        </w:rPr>
        <w:t>rispo</w:t>
      </w:r>
      <w:r w:rsidR="000F47F5" w:rsidRPr="008136A1">
        <w:rPr>
          <w:rFonts w:ascii="Times New Roman" w:hAnsi="Times New Roman" w:cs="Times New Roman"/>
          <w:sz w:val="26"/>
          <w:szCs w:val="26"/>
        </w:rPr>
        <w:t>sto</w:t>
      </w:r>
      <w:r w:rsidRPr="008136A1">
        <w:rPr>
          <w:rFonts w:ascii="Times New Roman" w:hAnsi="Times New Roman" w:cs="Times New Roman"/>
          <w:sz w:val="26"/>
          <w:szCs w:val="26"/>
        </w:rPr>
        <w:t xml:space="preserve"> </w:t>
      </w:r>
      <w:r w:rsidR="0072274B" w:rsidRPr="008136A1">
        <w:rPr>
          <w:rFonts w:ascii="Times New Roman" w:hAnsi="Times New Roman" w:cs="Times New Roman"/>
          <w:sz w:val="26"/>
          <w:szCs w:val="26"/>
        </w:rPr>
        <w:t xml:space="preserve">al professionista </w:t>
      </w:r>
      <w:r w:rsidRPr="008136A1">
        <w:rPr>
          <w:rFonts w:ascii="Times New Roman" w:hAnsi="Times New Roman" w:cs="Times New Roman"/>
          <w:sz w:val="26"/>
          <w:szCs w:val="26"/>
        </w:rPr>
        <w:t xml:space="preserve">che </w:t>
      </w:r>
      <w:r w:rsidR="00AC5E13" w:rsidRPr="008136A1">
        <w:rPr>
          <w:rFonts w:ascii="Times New Roman" w:hAnsi="Times New Roman" w:cs="Times New Roman"/>
          <w:sz w:val="26"/>
          <w:szCs w:val="26"/>
        </w:rPr>
        <w:t xml:space="preserve">ha dovuto </w:t>
      </w:r>
      <w:r w:rsidRPr="008136A1">
        <w:rPr>
          <w:rFonts w:ascii="Times New Roman" w:hAnsi="Times New Roman" w:cs="Times New Roman"/>
          <w:sz w:val="26"/>
          <w:szCs w:val="26"/>
        </w:rPr>
        <w:t>emetterlo perché fa</w:t>
      </w:r>
      <w:r w:rsidR="00E72B48" w:rsidRPr="008136A1">
        <w:rPr>
          <w:rFonts w:ascii="Times New Roman" w:hAnsi="Times New Roman" w:cs="Times New Roman"/>
          <w:sz w:val="26"/>
          <w:szCs w:val="26"/>
        </w:rPr>
        <w:t>rebbe</w:t>
      </w:r>
      <w:r w:rsidRPr="008136A1">
        <w:rPr>
          <w:rFonts w:ascii="Times New Roman" w:hAnsi="Times New Roman" w:cs="Times New Roman"/>
          <w:sz w:val="26"/>
          <w:szCs w:val="26"/>
        </w:rPr>
        <w:t xml:space="preserve"> parte di un accertamento più ampio. Cremona non ha notificato via </w:t>
      </w:r>
      <w:proofErr w:type="spellStart"/>
      <w:r w:rsidRPr="008136A1">
        <w:rPr>
          <w:rFonts w:ascii="Times New Roman" w:hAnsi="Times New Roman" w:cs="Times New Roman"/>
          <w:sz w:val="26"/>
          <w:szCs w:val="26"/>
        </w:rPr>
        <w:t>pec</w:t>
      </w:r>
      <w:proofErr w:type="spellEnd"/>
      <w:r w:rsidR="0072274B" w:rsidRPr="008136A1">
        <w:rPr>
          <w:rFonts w:ascii="Times New Roman" w:hAnsi="Times New Roman" w:cs="Times New Roman"/>
          <w:sz w:val="26"/>
          <w:szCs w:val="26"/>
        </w:rPr>
        <w:t>,</w:t>
      </w:r>
      <w:r w:rsidRPr="008136A1">
        <w:rPr>
          <w:rFonts w:ascii="Times New Roman" w:hAnsi="Times New Roman" w:cs="Times New Roman"/>
          <w:sz w:val="26"/>
          <w:szCs w:val="26"/>
        </w:rPr>
        <w:t xml:space="preserve"> ma in cartaceo</w:t>
      </w:r>
      <w:r w:rsidR="0072274B" w:rsidRPr="008136A1">
        <w:rPr>
          <w:rFonts w:ascii="Times New Roman" w:hAnsi="Times New Roman" w:cs="Times New Roman"/>
          <w:sz w:val="26"/>
          <w:szCs w:val="26"/>
        </w:rPr>
        <w:t>.</w:t>
      </w:r>
    </w:p>
    <w:p w14:paraId="4CCD7572" w14:textId="31386B72" w:rsidR="008136A1" w:rsidRPr="008136A1" w:rsidRDefault="00EA7A99" w:rsidP="008136A1">
      <w:pPr>
        <w:pStyle w:val="Paragrafoelenco"/>
        <w:numPr>
          <w:ilvl w:val="0"/>
          <w:numId w:val="14"/>
        </w:numPr>
        <w:spacing w:line="240" w:lineRule="auto"/>
        <w:ind w:left="426" w:hanging="426"/>
        <w:rPr>
          <w:rFonts w:ascii="Times New Roman" w:hAnsi="Times New Roman" w:cs="Times New Roman"/>
          <w:sz w:val="26"/>
          <w:szCs w:val="26"/>
        </w:rPr>
      </w:pPr>
      <w:r w:rsidRPr="008136A1">
        <w:rPr>
          <w:rFonts w:ascii="Times New Roman" w:eastAsia="Times New Roman" w:hAnsi="Times New Roman" w:cs="Times New Roman"/>
          <w:sz w:val="26"/>
          <w:szCs w:val="26"/>
        </w:rPr>
        <w:t xml:space="preserve">Litigio interviene riportando </w:t>
      </w:r>
      <w:r w:rsidR="00FC4712">
        <w:rPr>
          <w:rFonts w:ascii="Times New Roman" w:eastAsia="Times New Roman" w:hAnsi="Times New Roman" w:cs="Times New Roman"/>
          <w:sz w:val="26"/>
          <w:szCs w:val="26"/>
        </w:rPr>
        <w:t xml:space="preserve">che vi è preoccupazione </w:t>
      </w:r>
      <w:r w:rsidRPr="008136A1">
        <w:rPr>
          <w:rFonts w:ascii="Times New Roman" w:eastAsia="Times New Roman" w:hAnsi="Times New Roman" w:cs="Times New Roman"/>
          <w:sz w:val="26"/>
          <w:szCs w:val="26"/>
        </w:rPr>
        <w:t xml:space="preserve">circa lo spostamento degli uffici di Milano e Monza. Gelosa interviene precisando che alcuni </w:t>
      </w:r>
      <w:r w:rsidR="000F47F5" w:rsidRPr="008136A1">
        <w:rPr>
          <w:rFonts w:ascii="Times New Roman" w:eastAsia="Times New Roman" w:hAnsi="Times New Roman" w:cs="Times New Roman"/>
          <w:sz w:val="26"/>
          <w:szCs w:val="26"/>
        </w:rPr>
        <w:t>C</w:t>
      </w:r>
      <w:r w:rsidRPr="008136A1">
        <w:rPr>
          <w:rFonts w:ascii="Times New Roman" w:eastAsia="Times New Roman" w:hAnsi="Times New Roman" w:cs="Times New Roman"/>
          <w:sz w:val="26"/>
          <w:szCs w:val="26"/>
        </w:rPr>
        <w:t>omuni sono sotto la giurisdizione del tri</w:t>
      </w:r>
      <w:r w:rsidR="0072274B" w:rsidRPr="008136A1">
        <w:rPr>
          <w:rFonts w:ascii="Times New Roman" w:eastAsia="Times New Roman" w:hAnsi="Times New Roman" w:cs="Times New Roman"/>
          <w:sz w:val="26"/>
          <w:szCs w:val="26"/>
        </w:rPr>
        <w:t>bu</w:t>
      </w:r>
      <w:r w:rsidRPr="008136A1">
        <w:rPr>
          <w:rFonts w:ascii="Times New Roman" w:eastAsia="Times New Roman" w:hAnsi="Times New Roman" w:cs="Times New Roman"/>
          <w:sz w:val="26"/>
          <w:szCs w:val="26"/>
        </w:rPr>
        <w:t xml:space="preserve">nale di </w:t>
      </w:r>
      <w:r w:rsidR="00CE22DD" w:rsidRPr="008136A1">
        <w:rPr>
          <w:rFonts w:ascii="Times New Roman" w:eastAsia="Times New Roman" w:hAnsi="Times New Roman" w:cs="Times New Roman"/>
          <w:sz w:val="26"/>
          <w:szCs w:val="26"/>
        </w:rPr>
        <w:t>Monza</w:t>
      </w:r>
      <w:r w:rsidRPr="008136A1">
        <w:rPr>
          <w:rFonts w:ascii="Times New Roman" w:eastAsia="Times New Roman" w:hAnsi="Times New Roman" w:cs="Times New Roman"/>
          <w:sz w:val="26"/>
          <w:szCs w:val="26"/>
        </w:rPr>
        <w:t xml:space="preserve"> e sono rimasti sotto Milano </w:t>
      </w:r>
      <w:r w:rsidR="0072274B" w:rsidRPr="008136A1">
        <w:rPr>
          <w:rFonts w:ascii="Times New Roman" w:eastAsia="Times New Roman" w:hAnsi="Times New Roman" w:cs="Times New Roman"/>
          <w:sz w:val="26"/>
          <w:szCs w:val="26"/>
        </w:rPr>
        <w:t xml:space="preserve">per la competenza Agenzia e segnala che </w:t>
      </w:r>
      <w:r w:rsidRPr="008136A1">
        <w:rPr>
          <w:rFonts w:ascii="Times New Roman" w:eastAsia="Times New Roman" w:hAnsi="Times New Roman" w:cs="Times New Roman"/>
          <w:sz w:val="26"/>
          <w:szCs w:val="26"/>
        </w:rPr>
        <w:t>avere un ufficio molto lontano su Milano</w:t>
      </w:r>
      <w:r w:rsidR="0072274B" w:rsidRPr="008136A1">
        <w:rPr>
          <w:rFonts w:ascii="Times New Roman" w:eastAsia="Times New Roman" w:hAnsi="Times New Roman" w:cs="Times New Roman"/>
          <w:sz w:val="26"/>
          <w:szCs w:val="26"/>
        </w:rPr>
        <w:t>, non in zona centrale,</w:t>
      </w:r>
      <w:r w:rsidRPr="008136A1">
        <w:rPr>
          <w:rFonts w:ascii="Times New Roman" w:eastAsia="Times New Roman" w:hAnsi="Times New Roman" w:cs="Times New Roman"/>
          <w:sz w:val="26"/>
          <w:szCs w:val="26"/>
        </w:rPr>
        <w:t xml:space="preserve"> creerebbe </w:t>
      </w:r>
      <w:r w:rsidR="0072274B" w:rsidRPr="008136A1">
        <w:rPr>
          <w:rFonts w:ascii="Times New Roman" w:eastAsia="Times New Roman" w:hAnsi="Times New Roman" w:cs="Times New Roman"/>
          <w:sz w:val="26"/>
          <w:szCs w:val="26"/>
        </w:rPr>
        <w:t xml:space="preserve">notevoli </w:t>
      </w:r>
      <w:r w:rsidR="0041437F">
        <w:rPr>
          <w:rFonts w:ascii="Times New Roman" w:eastAsia="Times New Roman" w:hAnsi="Times New Roman" w:cs="Times New Roman"/>
          <w:sz w:val="26"/>
          <w:szCs w:val="26"/>
        </w:rPr>
        <w:t xml:space="preserve">problemi. </w:t>
      </w:r>
      <w:proofErr w:type="spellStart"/>
      <w:r w:rsidRPr="008136A1">
        <w:rPr>
          <w:rFonts w:ascii="Times New Roman" w:eastAsia="Times New Roman" w:hAnsi="Times New Roman" w:cs="Times New Roman"/>
          <w:sz w:val="26"/>
          <w:szCs w:val="26"/>
        </w:rPr>
        <w:t>Orabona</w:t>
      </w:r>
      <w:proofErr w:type="spellEnd"/>
      <w:r w:rsidRPr="008136A1">
        <w:rPr>
          <w:rFonts w:ascii="Times New Roman" w:eastAsia="Times New Roman" w:hAnsi="Times New Roman" w:cs="Times New Roman"/>
          <w:sz w:val="26"/>
          <w:szCs w:val="26"/>
        </w:rPr>
        <w:t xml:space="preserve"> interviene </w:t>
      </w:r>
      <w:r w:rsidR="0072274B" w:rsidRPr="008136A1">
        <w:rPr>
          <w:rFonts w:ascii="Times New Roman" w:eastAsia="Times New Roman" w:hAnsi="Times New Roman" w:cs="Times New Roman"/>
          <w:sz w:val="26"/>
          <w:szCs w:val="26"/>
        </w:rPr>
        <w:t>illustrando</w:t>
      </w:r>
      <w:r w:rsidR="00FC4712">
        <w:rPr>
          <w:rFonts w:ascii="Times New Roman" w:eastAsia="Times New Roman" w:hAnsi="Times New Roman" w:cs="Times New Roman"/>
          <w:sz w:val="26"/>
          <w:szCs w:val="26"/>
        </w:rPr>
        <w:t xml:space="preserve"> che per esigenze immobiliari sono in corso</w:t>
      </w:r>
      <w:r w:rsidR="0072274B" w:rsidRPr="008136A1">
        <w:rPr>
          <w:rFonts w:ascii="Times New Roman" w:eastAsia="Times New Roman" w:hAnsi="Times New Roman" w:cs="Times New Roman"/>
          <w:sz w:val="26"/>
          <w:szCs w:val="26"/>
        </w:rPr>
        <w:t xml:space="preserve"> trasferimenti</w:t>
      </w:r>
      <w:r w:rsidR="00FC4712">
        <w:rPr>
          <w:rFonts w:ascii="Times New Roman" w:eastAsia="Times New Roman" w:hAnsi="Times New Roman" w:cs="Times New Roman"/>
          <w:sz w:val="26"/>
          <w:szCs w:val="26"/>
        </w:rPr>
        <w:t xml:space="preserve"> da</w:t>
      </w:r>
      <w:r w:rsidR="00F45ABC">
        <w:rPr>
          <w:rFonts w:ascii="Times New Roman" w:eastAsia="Times New Roman" w:hAnsi="Times New Roman" w:cs="Times New Roman"/>
          <w:sz w:val="26"/>
          <w:szCs w:val="26"/>
        </w:rPr>
        <w:t>l</w:t>
      </w:r>
      <w:r w:rsidR="00FC4712">
        <w:rPr>
          <w:rFonts w:ascii="Times New Roman" w:eastAsia="Times New Roman" w:hAnsi="Times New Roman" w:cs="Times New Roman"/>
          <w:sz w:val="26"/>
          <w:szCs w:val="26"/>
        </w:rPr>
        <w:t xml:space="preserve">l’immobile di </w:t>
      </w:r>
      <w:r w:rsidRPr="008136A1">
        <w:rPr>
          <w:rFonts w:ascii="Times New Roman" w:eastAsia="Times New Roman" w:hAnsi="Times New Roman" w:cs="Times New Roman"/>
          <w:sz w:val="26"/>
          <w:szCs w:val="26"/>
        </w:rPr>
        <w:t>via</w:t>
      </w:r>
      <w:r w:rsidR="0072274B" w:rsidRPr="008136A1">
        <w:rPr>
          <w:rFonts w:ascii="Times New Roman" w:eastAsia="Times New Roman" w:hAnsi="Times New Roman" w:cs="Times New Roman"/>
          <w:sz w:val="26"/>
          <w:szCs w:val="26"/>
        </w:rPr>
        <w:t xml:space="preserve"> </w:t>
      </w:r>
      <w:r w:rsidR="00CE22DD" w:rsidRPr="008136A1">
        <w:rPr>
          <w:rFonts w:ascii="Times New Roman" w:eastAsia="Times New Roman" w:hAnsi="Times New Roman" w:cs="Times New Roman"/>
          <w:sz w:val="26"/>
          <w:szCs w:val="26"/>
        </w:rPr>
        <w:t>Ugo</w:t>
      </w:r>
      <w:r w:rsidRPr="008136A1">
        <w:rPr>
          <w:rFonts w:ascii="Times New Roman" w:eastAsia="Times New Roman" w:hAnsi="Times New Roman" w:cs="Times New Roman"/>
          <w:sz w:val="26"/>
          <w:szCs w:val="26"/>
        </w:rPr>
        <w:t xml:space="preserve"> </w:t>
      </w:r>
      <w:r w:rsidR="00174DE9" w:rsidRPr="008136A1">
        <w:rPr>
          <w:rFonts w:ascii="Times New Roman" w:eastAsia="Times New Roman" w:hAnsi="Times New Roman" w:cs="Times New Roman"/>
          <w:sz w:val="26"/>
          <w:szCs w:val="26"/>
        </w:rPr>
        <w:t>B</w:t>
      </w:r>
      <w:r w:rsidRPr="008136A1">
        <w:rPr>
          <w:rFonts w:ascii="Times New Roman" w:eastAsia="Times New Roman" w:hAnsi="Times New Roman" w:cs="Times New Roman"/>
          <w:sz w:val="26"/>
          <w:szCs w:val="26"/>
        </w:rPr>
        <w:t>assi</w:t>
      </w:r>
      <w:r w:rsidR="00FC4712">
        <w:rPr>
          <w:rFonts w:ascii="Times New Roman" w:eastAsia="Times New Roman" w:hAnsi="Times New Roman" w:cs="Times New Roman"/>
          <w:sz w:val="26"/>
          <w:szCs w:val="26"/>
        </w:rPr>
        <w:t xml:space="preserve"> in altri immobili in Milano già sede di altri uffici dell’Agenzia</w:t>
      </w:r>
      <w:r w:rsidR="0072274B" w:rsidRPr="008136A1">
        <w:rPr>
          <w:rFonts w:ascii="Times New Roman" w:eastAsia="Times New Roman" w:hAnsi="Times New Roman" w:cs="Times New Roman"/>
          <w:sz w:val="26"/>
          <w:szCs w:val="26"/>
        </w:rPr>
        <w:t>.</w:t>
      </w:r>
    </w:p>
    <w:p w14:paraId="4BEFA8ED" w14:textId="719F982F" w:rsidR="008136A1" w:rsidRPr="00C35E72" w:rsidRDefault="00CE22DD" w:rsidP="008136A1">
      <w:pPr>
        <w:pStyle w:val="Paragrafoelenco"/>
        <w:numPr>
          <w:ilvl w:val="0"/>
          <w:numId w:val="14"/>
        </w:numPr>
        <w:spacing w:line="240" w:lineRule="auto"/>
        <w:ind w:left="426" w:hanging="426"/>
        <w:rPr>
          <w:rFonts w:ascii="Times New Roman" w:hAnsi="Times New Roman" w:cs="Times New Roman"/>
          <w:sz w:val="26"/>
          <w:szCs w:val="26"/>
        </w:rPr>
      </w:pPr>
      <w:r w:rsidRPr="008136A1">
        <w:rPr>
          <w:rFonts w:ascii="Times New Roman" w:eastAsia="Times New Roman" w:hAnsi="Times New Roman" w:cs="Times New Roman"/>
          <w:sz w:val="26"/>
          <w:szCs w:val="26"/>
        </w:rPr>
        <w:t>Frangi segnala u</w:t>
      </w:r>
      <w:r w:rsidR="0072274B" w:rsidRPr="008136A1">
        <w:rPr>
          <w:rFonts w:ascii="Times New Roman" w:eastAsia="Times New Roman" w:hAnsi="Times New Roman" w:cs="Times New Roman"/>
          <w:sz w:val="26"/>
          <w:szCs w:val="26"/>
        </w:rPr>
        <w:t>n</w:t>
      </w:r>
      <w:r w:rsidRPr="008136A1">
        <w:rPr>
          <w:rFonts w:ascii="Times New Roman" w:eastAsia="Times New Roman" w:hAnsi="Times New Roman" w:cs="Times New Roman"/>
          <w:sz w:val="26"/>
          <w:szCs w:val="26"/>
        </w:rPr>
        <w:t xml:space="preserve"> caso di ravvedimento trattato dal </w:t>
      </w:r>
      <w:proofErr w:type="spellStart"/>
      <w:r w:rsidR="0072274B" w:rsidRPr="008136A1">
        <w:rPr>
          <w:rFonts w:ascii="Times New Roman" w:eastAsia="Times New Roman" w:hAnsi="Times New Roman" w:cs="Times New Roman"/>
          <w:sz w:val="26"/>
          <w:szCs w:val="26"/>
        </w:rPr>
        <w:t>C</w:t>
      </w:r>
      <w:r w:rsidRPr="008136A1">
        <w:rPr>
          <w:rFonts w:ascii="Times New Roman" w:eastAsia="Times New Roman" w:hAnsi="Times New Roman" w:cs="Times New Roman"/>
          <w:sz w:val="26"/>
          <w:szCs w:val="26"/>
        </w:rPr>
        <w:t>am</w:t>
      </w:r>
      <w:proofErr w:type="spellEnd"/>
      <w:r w:rsidRPr="008136A1">
        <w:rPr>
          <w:rFonts w:ascii="Times New Roman" w:eastAsia="Times New Roman" w:hAnsi="Times New Roman" w:cs="Times New Roman"/>
          <w:sz w:val="26"/>
          <w:szCs w:val="26"/>
        </w:rPr>
        <w:t xml:space="preserve"> di Salerno sul quale Auricchio richiede il caso specifico per poter valutare l’accaduto</w:t>
      </w:r>
      <w:r w:rsidR="0041437F">
        <w:rPr>
          <w:rFonts w:ascii="Times New Roman" w:eastAsia="Times New Roman" w:hAnsi="Times New Roman" w:cs="Times New Roman"/>
          <w:sz w:val="26"/>
          <w:szCs w:val="26"/>
        </w:rPr>
        <w:t>.</w:t>
      </w:r>
    </w:p>
    <w:p w14:paraId="7464CE40" w14:textId="7BB5292C" w:rsidR="0053149E" w:rsidRPr="0053149E" w:rsidRDefault="00CE22DD" w:rsidP="00C35E72">
      <w:pPr>
        <w:pStyle w:val="Paragrafoelenco"/>
        <w:numPr>
          <w:ilvl w:val="0"/>
          <w:numId w:val="14"/>
        </w:numPr>
        <w:spacing w:line="240" w:lineRule="auto"/>
        <w:ind w:left="426" w:hanging="426"/>
        <w:rPr>
          <w:rFonts w:ascii="Times New Roman" w:hAnsi="Times New Roman" w:cs="Times New Roman"/>
          <w:sz w:val="26"/>
          <w:szCs w:val="26"/>
        </w:rPr>
      </w:pPr>
      <w:proofErr w:type="spellStart"/>
      <w:r w:rsidRPr="00C35E72">
        <w:rPr>
          <w:rFonts w:ascii="Times New Roman" w:eastAsia="Times New Roman" w:hAnsi="Times New Roman" w:cs="Times New Roman"/>
          <w:sz w:val="26"/>
          <w:szCs w:val="26"/>
        </w:rPr>
        <w:t>O</w:t>
      </w:r>
      <w:r w:rsidR="0072274B" w:rsidRPr="00C35E72">
        <w:rPr>
          <w:rFonts w:ascii="Times New Roman" w:eastAsia="Times New Roman" w:hAnsi="Times New Roman" w:cs="Times New Roman"/>
          <w:sz w:val="26"/>
          <w:szCs w:val="26"/>
        </w:rPr>
        <w:t>rabona</w:t>
      </w:r>
      <w:proofErr w:type="spellEnd"/>
      <w:r w:rsidR="0072274B" w:rsidRPr="00C35E72">
        <w:rPr>
          <w:rFonts w:ascii="Times New Roman" w:eastAsia="Times New Roman" w:hAnsi="Times New Roman" w:cs="Times New Roman"/>
          <w:sz w:val="26"/>
          <w:szCs w:val="26"/>
        </w:rPr>
        <w:t xml:space="preserve"> </w:t>
      </w:r>
      <w:r w:rsidRPr="00C35E72">
        <w:rPr>
          <w:rFonts w:ascii="Times New Roman" w:eastAsia="Times New Roman" w:hAnsi="Times New Roman" w:cs="Times New Roman"/>
          <w:sz w:val="26"/>
          <w:szCs w:val="26"/>
        </w:rPr>
        <w:t xml:space="preserve">interviene in merito </w:t>
      </w:r>
      <w:r w:rsidR="0072274B" w:rsidRPr="00C35E72">
        <w:rPr>
          <w:rFonts w:ascii="Times New Roman" w:eastAsia="Times New Roman" w:hAnsi="Times New Roman" w:cs="Times New Roman"/>
          <w:sz w:val="26"/>
          <w:szCs w:val="26"/>
        </w:rPr>
        <w:t xml:space="preserve">a </w:t>
      </w:r>
      <w:r w:rsidRPr="00C35E72">
        <w:rPr>
          <w:rFonts w:ascii="Times New Roman" w:eastAsia="Times New Roman" w:hAnsi="Times New Roman" w:cs="Times New Roman"/>
          <w:sz w:val="26"/>
          <w:szCs w:val="26"/>
        </w:rPr>
        <w:t>un</w:t>
      </w:r>
      <w:r w:rsidR="00BC5161" w:rsidRPr="00C35E72">
        <w:rPr>
          <w:rFonts w:ascii="Times New Roman" w:eastAsia="Times New Roman" w:hAnsi="Times New Roman" w:cs="Times New Roman"/>
          <w:sz w:val="26"/>
          <w:szCs w:val="26"/>
        </w:rPr>
        <w:t xml:space="preserve">a recente </w:t>
      </w:r>
      <w:r w:rsidRPr="00C35E72">
        <w:rPr>
          <w:rFonts w:ascii="Times New Roman" w:eastAsia="Times New Roman" w:hAnsi="Times New Roman" w:cs="Times New Roman"/>
          <w:sz w:val="26"/>
          <w:szCs w:val="26"/>
        </w:rPr>
        <w:t xml:space="preserve">istanza </w:t>
      </w:r>
      <w:r w:rsidR="00BC5161" w:rsidRPr="00C35E72">
        <w:rPr>
          <w:rFonts w:ascii="Times New Roman" w:eastAsia="Times New Roman" w:hAnsi="Times New Roman" w:cs="Times New Roman"/>
          <w:sz w:val="26"/>
          <w:szCs w:val="26"/>
        </w:rPr>
        <w:t>de</w:t>
      </w:r>
      <w:r w:rsidRPr="00C35E72">
        <w:rPr>
          <w:rFonts w:ascii="Times New Roman" w:eastAsia="Times New Roman" w:hAnsi="Times New Roman" w:cs="Times New Roman"/>
          <w:sz w:val="26"/>
          <w:szCs w:val="26"/>
        </w:rPr>
        <w:t>l Garante</w:t>
      </w:r>
      <w:r w:rsidR="00BC5161" w:rsidRPr="00C35E72">
        <w:rPr>
          <w:rFonts w:ascii="Times New Roman" w:eastAsia="Times New Roman" w:hAnsi="Times New Roman" w:cs="Times New Roman"/>
          <w:sz w:val="26"/>
          <w:szCs w:val="26"/>
        </w:rPr>
        <w:t xml:space="preserve"> alla Direzione regionale su segnalazione de</w:t>
      </w:r>
      <w:r w:rsidRPr="00C35E72">
        <w:rPr>
          <w:rFonts w:ascii="Times New Roman" w:eastAsia="Times New Roman" w:hAnsi="Times New Roman" w:cs="Times New Roman"/>
          <w:sz w:val="26"/>
          <w:szCs w:val="26"/>
        </w:rPr>
        <w:t>ll’</w:t>
      </w:r>
      <w:r w:rsidR="00E72B48" w:rsidRPr="00C35E72">
        <w:rPr>
          <w:rFonts w:ascii="Times New Roman" w:eastAsia="Times New Roman" w:hAnsi="Times New Roman" w:cs="Times New Roman"/>
          <w:sz w:val="26"/>
          <w:szCs w:val="26"/>
        </w:rPr>
        <w:t>O</w:t>
      </w:r>
      <w:r w:rsidRPr="00C35E72">
        <w:rPr>
          <w:rFonts w:ascii="Times New Roman" w:eastAsia="Times New Roman" w:hAnsi="Times New Roman" w:cs="Times New Roman"/>
          <w:sz w:val="26"/>
          <w:szCs w:val="26"/>
        </w:rPr>
        <w:t>rdine di Milano</w:t>
      </w:r>
      <w:r w:rsidR="00BC5161" w:rsidRPr="00C35E72">
        <w:rPr>
          <w:rFonts w:ascii="Times New Roman" w:eastAsia="Times New Roman" w:hAnsi="Times New Roman" w:cs="Times New Roman"/>
          <w:sz w:val="26"/>
          <w:szCs w:val="26"/>
        </w:rPr>
        <w:t xml:space="preserve"> per una richiesta di consulenza giuridica </w:t>
      </w:r>
      <w:r w:rsidR="0053149E">
        <w:rPr>
          <w:rFonts w:ascii="Times New Roman" w:eastAsia="Times New Roman" w:hAnsi="Times New Roman" w:cs="Times New Roman"/>
          <w:sz w:val="26"/>
          <w:szCs w:val="26"/>
        </w:rPr>
        <w:t xml:space="preserve">di circa quattro anni fa per la quale è stato chiesto intervento alla competente Direzione centrale e </w:t>
      </w:r>
      <w:r w:rsidR="00F87098">
        <w:rPr>
          <w:rFonts w:ascii="Times New Roman" w:eastAsia="Times New Roman" w:hAnsi="Times New Roman" w:cs="Times New Roman"/>
          <w:sz w:val="26"/>
          <w:szCs w:val="26"/>
        </w:rPr>
        <w:t xml:space="preserve">che </w:t>
      </w:r>
      <w:r w:rsidR="0053149E">
        <w:rPr>
          <w:rFonts w:ascii="Times New Roman" w:eastAsia="Times New Roman" w:hAnsi="Times New Roman" w:cs="Times New Roman"/>
          <w:sz w:val="26"/>
          <w:szCs w:val="26"/>
        </w:rPr>
        <w:t>al momento</w:t>
      </w:r>
      <w:r w:rsidR="00BC5161" w:rsidRPr="00C35E72">
        <w:rPr>
          <w:rFonts w:ascii="Times New Roman" w:eastAsia="Times New Roman" w:hAnsi="Times New Roman" w:cs="Times New Roman"/>
          <w:sz w:val="26"/>
          <w:szCs w:val="26"/>
        </w:rPr>
        <w:t xml:space="preserve"> non ha ricevuto risposta. Sottolinea</w:t>
      </w:r>
      <w:r w:rsidR="00C35E72">
        <w:rPr>
          <w:rFonts w:ascii="Times New Roman" w:eastAsia="Times New Roman" w:hAnsi="Times New Roman" w:cs="Times New Roman"/>
          <w:sz w:val="26"/>
          <w:szCs w:val="26"/>
        </w:rPr>
        <w:t xml:space="preserve"> </w:t>
      </w:r>
      <w:r w:rsidR="00F87098">
        <w:rPr>
          <w:rFonts w:ascii="Times New Roman" w:eastAsia="Times New Roman" w:hAnsi="Times New Roman" w:cs="Times New Roman"/>
          <w:sz w:val="26"/>
          <w:szCs w:val="26"/>
        </w:rPr>
        <w:t xml:space="preserve">per la Direzione regionale </w:t>
      </w:r>
      <w:r w:rsidR="00C35E72">
        <w:rPr>
          <w:rFonts w:ascii="Times New Roman" w:eastAsia="Times New Roman" w:hAnsi="Times New Roman" w:cs="Times New Roman"/>
          <w:sz w:val="26"/>
          <w:szCs w:val="26"/>
        </w:rPr>
        <w:t>che</w:t>
      </w:r>
      <w:r w:rsidR="0053149E">
        <w:rPr>
          <w:rFonts w:ascii="Times New Roman" w:eastAsia="Times New Roman" w:hAnsi="Times New Roman" w:cs="Times New Roman"/>
          <w:sz w:val="26"/>
          <w:szCs w:val="26"/>
        </w:rPr>
        <w:t xml:space="preserve">, ferma restando la risposta che verrà fornita al Garante, </w:t>
      </w:r>
      <w:r w:rsidR="00C35E72">
        <w:rPr>
          <w:rFonts w:ascii="Times New Roman" w:eastAsia="Times New Roman" w:hAnsi="Times New Roman" w:cs="Times New Roman"/>
          <w:sz w:val="26"/>
          <w:szCs w:val="26"/>
        </w:rPr>
        <w:t>l’iniziativa dell’O</w:t>
      </w:r>
      <w:r w:rsidR="00F87098">
        <w:rPr>
          <w:rFonts w:ascii="Times New Roman" w:eastAsia="Times New Roman" w:hAnsi="Times New Roman" w:cs="Times New Roman"/>
          <w:sz w:val="26"/>
          <w:szCs w:val="26"/>
        </w:rPr>
        <w:t>rdine d</w:t>
      </w:r>
      <w:r w:rsidR="00C35E72">
        <w:rPr>
          <w:rFonts w:ascii="Times New Roman" w:eastAsia="Times New Roman" w:hAnsi="Times New Roman" w:cs="Times New Roman"/>
          <w:sz w:val="26"/>
          <w:szCs w:val="26"/>
        </w:rPr>
        <w:t xml:space="preserve">i Milano è l’occasione per confermare </w:t>
      </w:r>
      <w:r w:rsidR="00BC5161" w:rsidRPr="00C35E72">
        <w:rPr>
          <w:rFonts w:ascii="Times New Roman" w:eastAsia="Times New Roman" w:hAnsi="Times New Roman" w:cs="Times New Roman"/>
          <w:sz w:val="26"/>
          <w:szCs w:val="26"/>
        </w:rPr>
        <w:t xml:space="preserve">che, tenuto conto anche della proficua e pluriennale collaborazione, il tavolo </w:t>
      </w:r>
      <w:r w:rsidRPr="00C35E72">
        <w:rPr>
          <w:rFonts w:ascii="Times New Roman" w:eastAsia="Times New Roman" w:hAnsi="Times New Roman" w:cs="Times New Roman"/>
          <w:sz w:val="26"/>
          <w:szCs w:val="26"/>
        </w:rPr>
        <w:t>è la sede</w:t>
      </w:r>
      <w:r w:rsidR="00BC5161" w:rsidRPr="00C35E72">
        <w:rPr>
          <w:rFonts w:ascii="Times New Roman" w:eastAsia="Times New Roman" w:hAnsi="Times New Roman" w:cs="Times New Roman"/>
          <w:sz w:val="26"/>
          <w:szCs w:val="26"/>
        </w:rPr>
        <w:t xml:space="preserve"> propria per confrontarsi </w:t>
      </w:r>
      <w:r w:rsidR="00C35E72" w:rsidRPr="00C35E72">
        <w:rPr>
          <w:rFonts w:ascii="Times New Roman" w:eastAsia="Times New Roman" w:hAnsi="Times New Roman" w:cs="Times New Roman"/>
          <w:sz w:val="26"/>
          <w:szCs w:val="26"/>
        </w:rPr>
        <w:t xml:space="preserve">su eventuali </w:t>
      </w:r>
      <w:r w:rsidR="00BC5161" w:rsidRPr="00C35E72">
        <w:rPr>
          <w:rFonts w:ascii="Times New Roman" w:eastAsia="Times New Roman" w:hAnsi="Times New Roman" w:cs="Times New Roman"/>
          <w:sz w:val="26"/>
          <w:szCs w:val="26"/>
        </w:rPr>
        <w:t>problematiche</w:t>
      </w:r>
      <w:r w:rsidR="00C35E72">
        <w:rPr>
          <w:rFonts w:ascii="Times New Roman" w:eastAsia="Times New Roman" w:hAnsi="Times New Roman" w:cs="Times New Roman"/>
          <w:sz w:val="26"/>
          <w:szCs w:val="26"/>
        </w:rPr>
        <w:t xml:space="preserve"> al fine di risolverle. </w:t>
      </w:r>
    </w:p>
    <w:p w14:paraId="7F029183" w14:textId="7308202E" w:rsidR="0041437F" w:rsidRPr="00370E5C" w:rsidRDefault="00F87098" w:rsidP="00294FA5">
      <w:pPr>
        <w:pStyle w:val="Paragrafoelenco"/>
        <w:numPr>
          <w:ilvl w:val="0"/>
          <w:numId w:val="14"/>
        </w:numPr>
        <w:spacing w:line="240" w:lineRule="auto"/>
        <w:ind w:left="426" w:hanging="426"/>
        <w:rPr>
          <w:rFonts w:ascii="Times New Roman" w:hAnsi="Times New Roman" w:cs="Times New Roman"/>
          <w:sz w:val="26"/>
          <w:szCs w:val="26"/>
        </w:rPr>
      </w:pPr>
      <w:r>
        <w:rPr>
          <w:rFonts w:ascii="Times New Roman" w:eastAsia="Times New Roman" w:hAnsi="Times New Roman" w:cs="Times New Roman"/>
          <w:sz w:val="26"/>
          <w:szCs w:val="26"/>
        </w:rPr>
        <w:t xml:space="preserve">Gelosa </w:t>
      </w:r>
      <w:r w:rsidR="0072274B" w:rsidRPr="00BC5161">
        <w:rPr>
          <w:rFonts w:ascii="Times New Roman" w:eastAsia="Times New Roman" w:hAnsi="Times New Roman" w:cs="Times New Roman"/>
          <w:sz w:val="26"/>
          <w:szCs w:val="26"/>
        </w:rPr>
        <w:t xml:space="preserve">sul punto precedente </w:t>
      </w:r>
      <w:r>
        <w:rPr>
          <w:rFonts w:ascii="Times New Roman" w:eastAsia="Times New Roman" w:hAnsi="Times New Roman" w:cs="Times New Roman"/>
          <w:sz w:val="26"/>
          <w:szCs w:val="26"/>
        </w:rPr>
        <w:t xml:space="preserve">evidenzia </w:t>
      </w:r>
      <w:r w:rsidR="0053149E">
        <w:rPr>
          <w:rFonts w:ascii="Times New Roman" w:eastAsia="Times New Roman" w:hAnsi="Times New Roman" w:cs="Times New Roman"/>
          <w:sz w:val="26"/>
          <w:szCs w:val="26"/>
        </w:rPr>
        <w:t>che per l</w:t>
      </w:r>
      <w:r>
        <w:rPr>
          <w:rFonts w:ascii="Times New Roman" w:eastAsia="Times New Roman" w:hAnsi="Times New Roman" w:cs="Times New Roman"/>
          <w:sz w:val="26"/>
          <w:szCs w:val="26"/>
        </w:rPr>
        <w:t xml:space="preserve">a determinazione dell’Ordine di effettuare la segnalazione, non nota al CODIS, </w:t>
      </w:r>
      <w:r w:rsidR="0072274B" w:rsidRPr="00BC5161">
        <w:rPr>
          <w:rFonts w:ascii="Times New Roman" w:eastAsia="Times New Roman" w:hAnsi="Times New Roman" w:cs="Times New Roman"/>
          <w:sz w:val="26"/>
          <w:szCs w:val="26"/>
        </w:rPr>
        <w:t>sarebbe stata opportuna una comunicazione preventiva</w:t>
      </w:r>
      <w:r w:rsidR="0053149E">
        <w:rPr>
          <w:rFonts w:ascii="Times New Roman" w:eastAsia="Times New Roman" w:hAnsi="Times New Roman" w:cs="Times New Roman"/>
          <w:sz w:val="26"/>
          <w:szCs w:val="26"/>
        </w:rPr>
        <w:t xml:space="preserve"> al tavolo</w:t>
      </w:r>
      <w:r w:rsidR="0072274B" w:rsidRPr="00BC5161">
        <w:rPr>
          <w:rFonts w:ascii="Times New Roman" w:eastAsia="Times New Roman" w:hAnsi="Times New Roman" w:cs="Times New Roman"/>
          <w:sz w:val="26"/>
          <w:szCs w:val="26"/>
        </w:rPr>
        <w:t xml:space="preserve">. </w:t>
      </w:r>
      <w:r w:rsidR="0072274B" w:rsidRPr="00370E5C">
        <w:rPr>
          <w:rFonts w:ascii="Times New Roman" w:eastAsia="Times New Roman" w:hAnsi="Times New Roman" w:cs="Times New Roman"/>
          <w:sz w:val="26"/>
          <w:szCs w:val="26"/>
        </w:rPr>
        <w:t xml:space="preserve">Beltrame specifica che </w:t>
      </w:r>
      <w:r w:rsidRPr="00370E5C">
        <w:rPr>
          <w:rFonts w:ascii="Times New Roman" w:eastAsia="Times New Roman" w:hAnsi="Times New Roman" w:cs="Times New Roman"/>
          <w:sz w:val="26"/>
          <w:szCs w:val="26"/>
        </w:rPr>
        <w:t>la</w:t>
      </w:r>
      <w:r w:rsidR="00055207" w:rsidRPr="00370E5C">
        <w:rPr>
          <w:rFonts w:ascii="Times New Roman" w:eastAsia="Times New Roman" w:hAnsi="Times New Roman" w:cs="Times New Roman"/>
          <w:sz w:val="26"/>
          <w:szCs w:val="26"/>
        </w:rPr>
        <w:t xml:space="preserve"> risposta</w:t>
      </w:r>
      <w:r w:rsidRPr="00370E5C">
        <w:rPr>
          <w:rFonts w:ascii="Times New Roman" w:eastAsia="Times New Roman" w:hAnsi="Times New Roman" w:cs="Times New Roman"/>
          <w:sz w:val="26"/>
          <w:szCs w:val="26"/>
        </w:rPr>
        <w:t xml:space="preserve"> è attesa</w:t>
      </w:r>
      <w:r w:rsidR="00055207" w:rsidRPr="00370E5C">
        <w:rPr>
          <w:rFonts w:ascii="Times New Roman" w:eastAsia="Times New Roman" w:hAnsi="Times New Roman" w:cs="Times New Roman"/>
          <w:sz w:val="26"/>
          <w:szCs w:val="26"/>
        </w:rPr>
        <w:t xml:space="preserve"> da 4 anni e che</w:t>
      </w:r>
      <w:r w:rsidR="0031577D" w:rsidRPr="00370E5C">
        <w:rPr>
          <w:rFonts w:ascii="Times New Roman" w:eastAsia="Times New Roman" w:hAnsi="Times New Roman" w:cs="Times New Roman"/>
          <w:sz w:val="26"/>
          <w:szCs w:val="26"/>
        </w:rPr>
        <w:t xml:space="preserve"> negli ultimi anni </w:t>
      </w:r>
      <w:r w:rsidR="00055207" w:rsidRPr="00370E5C">
        <w:rPr>
          <w:rFonts w:ascii="Times New Roman" w:eastAsia="Times New Roman" w:hAnsi="Times New Roman" w:cs="Times New Roman"/>
          <w:sz w:val="26"/>
          <w:szCs w:val="26"/>
        </w:rPr>
        <w:t xml:space="preserve">l’Ordine di Milano non ha più presentato richieste di parere </w:t>
      </w:r>
      <w:r w:rsidR="0031577D" w:rsidRPr="00370E5C">
        <w:rPr>
          <w:rFonts w:ascii="Times New Roman" w:eastAsia="Times New Roman" w:hAnsi="Times New Roman" w:cs="Times New Roman"/>
          <w:sz w:val="26"/>
          <w:szCs w:val="26"/>
        </w:rPr>
        <w:t>perché anche in altri due casi, che erano stati anticipati al</w:t>
      </w:r>
      <w:r w:rsidR="00370E5C">
        <w:rPr>
          <w:rFonts w:ascii="Times New Roman" w:eastAsia="Times New Roman" w:hAnsi="Times New Roman" w:cs="Times New Roman"/>
          <w:sz w:val="26"/>
          <w:szCs w:val="26"/>
        </w:rPr>
        <w:t xml:space="preserve"> T</w:t>
      </w:r>
      <w:bookmarkStart w:id="0" w:name="_GoBack"/>
      <w:bookmarkEnd w:id="0"/>
      <w:r w:rsidR="0031577D" w:rsidRPr="00370E5C">
        <w:rPr>
          <w:rFonts w:ascii="Times New Roman" w:eastAsia="Times New Roman" w:hAnsi="Times New Roman" w:cs="Times New Roman"/>
          <w:sz w:val="26"/>
          <w:szCs w:val="26"/>
        </w:rPr>
        <w:t xml:space="preserve">avolo, non ha ricevuto una risposta nel merito. Alfieri </w:t>
      </w:r>
      <w:r w:rsidR="0031577D" w:rsidRPr="00370E5C">
        <w:rPr>
          <w:rFonts w:ascii="Times New Roman" w:eastAsia="Times New Roman" w:hAnsi="Times New Roman" w:cs="Times New Roman"/>
          <w:sz w:val="26"/>
          <w:szCs w:val="26"/>
        </w:rPr>
        <w:lastRenderedPageBreak/>
        <w:t xml:space="preserve">precisa che le due consulenze alle quali si fa riferimento erano fattispecie specifiche, e non di carattere generale, per le quali era necessario presentare interpello. Specifica che la consulenza giuridica non ha una propria disciplina normativa, non sono previsti termini legali di scadenza e </w:t>
      </w:r>
      <w:r w:rsidRPr="00370E5C">
        <w:rPr>
          <w:rFonts w:ascii="Times New Roman" w:eastAsia="Times New Roman" w:hAnsi="Times New Roman" w:cs="Times New Roman"/>
          <w:sz w:val="26"/>
          <w:szCs w:val="26"/>
        </w:rPr>
        <w:t xml:space="preserve">infatti non è previsto </w:t>
      </w:r>
      <w:r w:rsidR="0031577D" w:rsidRPr="00370E5C">
        <w:rPr>
          <w:rFonts w:ascii="Times New Roman" w:eastAsia="Times New Roman" w:hAnsi="Times New Roman" w:cs="Times New Roman"/>
          <w:sz w:val="26"/>
          <w:szCs w:val="26"/>
        </w:rPr>
        <w:t>il silenzio-assenso. Per la</w:t>
      </w:r>
      <w:r w:rsidR="00E72B48" w:rsidRPr="00370E5C">
        <w:rPr>
          <w:rFonts w:ascii="Times New Roman" w:eastAsia="Times New Roman" w:hAnsi="Times New Roman" w:cs="Times New Roman"/>
          <w:sz w:val="26"/>
          <w:szCs w:val="26"/>
        </w:rPr>
        <w:t xml:space="preserve"> consulenza segnalata </w:t>
      </w:r>
      <w:r w:rsidR="0031577D" w:rsidRPr="00370E5C">
        <w:rPr>
          <w:rFonts w:ascii="Times New Roman" w:eastAsia="Times New Roman" w:hAnsi="Times New Roman" w:cs="Times New Roman"/>
          <w:sz w:val="26"/>
          <w:szCs w:val="26"/>
        </w:rPr>
        <w:t xml:space="preserve">al Garante è stato chiesto l’intervento della </w:t>
      </w:r>
      <w:r w:rsidR="00E72B48" w:rsidRPr="00370E5C">
        <w:rPr>
          <w:rFonts w:ascii="Times New Roman" w:eastAsia="Times New Roman" w:hAnsi="Times New Roman" w:cs="Times New Roman"/>
          <w:sz w:val="26"/>
          <w:szCs w:val="26"/>
        </w:rPr>
        <w:t>D</w:t>
      </w:r>
      <w:r w:rsidR="0072274B" w:rsidRPr="00370E5C">
        <w:rPr>
          <w:rFonts w:ascii="Times New Roman" w:eastAsia="Times New Roman" w:hAnsi="Times New Roman" w:cs="Times New Roman"/>
          <w:sz w:val="26"/>
          <w:szCs w:val="26"/>
        </w:rPr>
        <w:t>ivis</w:t>
      </w:r>
      <w:r w:rsidR="00174DE9" w:rsidRPr="00370E5C">
        <w:rPr>
          <w:rFonts w:ascii="Times New Roman" w:eastAsia="Times New Roman" w:hAnsi="Times New Roman" w:cs="Times New Roman"/>
          <w:sz w:val="26"/>
          <w:szCs w:val="26"/>
        </w:rPr>
        <w:t>i</w:t>
      </w:r>
      <w:r w:rsidR="0072274B" w:rsidRPr="00370E5C">
        <w:rPr>
          <w:rFonts w:ascii="Times New Roman" w:eastAsia="Times New Roman" w:hAnsi="Times New Roman" w:cs="Times New Roman"/>
          <w:sz w:val="26"/>
          <w:szCs w:val="26"/>
        </w:rPr>
        <w:t>one contribuenti</w:t>
      </w:r>
      <w:r w:rsidRPr="00370E5C">
        <w:rPr>
          <w:rFonts w:ascii="Times New Roman" w:eastAsia="Times New Roman" w:hAnsi="Times New Roman" w:cs="Times New Roman"/>
          <w:sz w:val="26"/>
          <w:szCs w:val="26"/>
        </w:rPr>
        <w:t xml:space="preserve"> ed è quindi questa struttura </w:t>
      </w:r>
      <w:r w:rsidR="0031577D" w:rsidRPr="00370E5C">
        <w:rPr>
          <w:rFonts w:ascii="Times New Roman" w:eastAsia="Times New Roman" w:hAnsi="Times New Roman" w:cs="Times New Roman"/>
          <w:sz w:val="26"/>
          <w:szCs w:val="26"/>
        </w:rPr>
        <w:t>centrale</w:t>
      </w:r>
      <w:r w:rsidRPr="00370E5C">
        <w:rPr>
          <w:rFonts w:ascii="Times New Roman" w:eastAsia="Times New Roman" w:hAnsi="Times New Roman" w:cs="Times New Roman"/>
          <w:sz w:val="26"/>
          <w:szCs w:val="26"/>
        </w:rPr>
        <w:t xml:space="preserve"> deputata a fornire la risposta</w:t>
      </w:r>
      <w:r w:rsidR="0031577D" w:rsidRPr="00370E5C">
        <w:rPr>
          <w:rFonts w:ascii="Times New Roman" w:eastAsia="Times New Roman" w:hAnsi="Times New Roman" w:cs="Times New Roman"/>
          <w:sz w:val="26"/>
          <w:szCs w:val="26"/>
        </w:rPr>
        <w:t>. Alfieri precisa che la Direzione regionale</w:t>
      </w:r>
      <w:r w:rsidR="00E72B48" w:rsidRPr="00370E5C">
        <w:rPr>
          <w:rFonts w:ascii="Times New Roman" w:eastAsia="Times New Roman" w:hAnsi="Times New Roman" w:cs="Times New Roman"/>
          <w:sz w:val="26"/>
          <w:szCs w:val="26"/>
        </w:rPr>
        <w:t xml:space="preserve"> ha fat</w:t>
      </w:r>
      <w:r w:rsidR="000F47F5" w:rsidRPr="00370E5C">
        <w:rPr>
          <w:rFonts w:ascii="Times New Roman" w:eastAsia="Times New Roman" w:hAnsi="Times New Roman" w:cs="Times New Roman"/>
          <w:sz w:val="26"/>
          <w:szCs w:val="26"/>
        </w:rPr>
        <w:t>t</w:t>
      </w:r>
      <w:r w:rsidR="00E72B48" w:rsidRPr="00370E5C">
        <w:rPr>
          <w:rFonts w:ascii="Times New Roman" w:eastAsia="Times New Roman" w:hAnsi="Times New Roman" w:cs="Times New Roman"/>
          <w:sz w:val="26"/>
          <w:szCs w:val="26"/>
        </w:rPr>
        <w:t xml:space="preserve">o </w:t>
      </w:r>
      <w:r w:rsidR="000F47F5" w:rsidRPr="00370E5C">
        <w:rPr>
          <w:rFonts w:ascii="Times New Roman" w:eastAsia="Times New Roman" w:hAnsi="Times New Roman" w:cs="Times New Roman"/>
          <w:sz w:val="26"/>
          <w:szCs w:val="26"/>
        </w:rPr>
        <w:t xml:space="preserve">comunque </w:t>
      </w:r>
      <w:r w:rsidR="00E72B48" w:rsidRPr="00370E5C">
        <w:rPr>
          <w:rFonts w:ascii="Times New Roman" w:eastAsia="Times New Roman" w:hAnsi="Times New Roman" w:cs="Times New Roman"/>
          <w:sz w:val="26"/>
          <w:szCs w:val="26"/>
        </w:rPr>
        <w:t>gli opportuni solleciti</w:t>
      </w:r>
      <w:r w:rsidR="000F47F5" w:rsidRPr="00370E5C">
        <w:rPr>
          <w:rFonts w:ascii="Times New Roman" w:eastAsia="Times New Roman" w:hAnsi="Times New Roman" w:cs="Times New Roman"/>
          <w:sz w:val="26"/>
          <w:szCs w:val="26"/>
        </w:rPr>
        <w:t xml:space="preserve"> nel tempo</w:t>
      </w:r>
      <w:r w:rsidR="00E72B48" w:rsidRPr="00370E5C">
        <w:rPr>
          <w:rFonts w:ascii="Times New Roman" w:eastAsia="Times New Roman" w:hAnsi="Times New Roman" w:cs="Times New Roman"/>
          <w:sz w:val="26"/>
          <w:szCs w:val="26"/>
        </w:rPr>
        <w:t>.</w:t>
      </w:r>
    </w:p>
    <w:p w14:paraId="38774782" w14:textId="11638B48" w:rsidR="0041437F" w:rsidRPr="0041437F" w:rsidRDefault="002561AA" w:rsidP="0041437F">
      <w:pPr>
        <w:pStyle w:val="Paragrafoelenco"/>
        <w:numPr>
          <w:ilvl w:val="0"/>
          <w:numId w:val="14"/>
        </w:numPr>
        <w:spacing w:line="240" w:lineRule="auto"/>
        <w:ind w:left="426" w:hanging="426"/>
        <w:rPr>
          <w:rFonts w:ascii="Times New Roman" w:hAnsi="Times New Roman" w:cs="Times New Roman"/>
          <w:sz w:val="26"/>
          <w:szCs w:val="26"/>
        </w:rPr>
      </w:pPr>
      <w:proofErr w:type="spellStart"/>
      <w:r w:rsidRPr="0041437F">
        <w:rPr>
          <w:rFonts w:ascii="Times New Roman" w:eastAsia="Times New Roman" w:hAnsi="Times New Roman" w:cs="Times New Roman"/>
          <w:sz w:val="26"/>
          <w:szCs w:val="26"/>
        </w:rPr>
        <w:t>Orabona</w:t>
      </w:r>
      <w:proofErr w:type="spellEnd"/>
      <w:r w:rsidR="00CE22DD" w:rsidRPr="0041437F">
        <w:rPr>
          <w:rFonts w:ascii="Times New Roman" w:eastAsia="Times New Roman" w:hAnsi="Times New Roman" w:cs="Times New Roman"/>
          <w:sz w:val="26"/>
          <w:szCs w:val="26"/>
        </w:rPr>
        <w:t xml:space="preserve"> in</w:t>
      </w:r>
      <w:r w:rsidR="00174DE9" w:rsidRPr="0041437F">
        <w:rPr>
          <w:rFonts w:ascii="Times New Roman" w:eastAsia="Times New Roman" w:hAnsi="Times New Roman" w:cs="Times New Roman"/>
          <w:sz w:val="26"/>
          <w:szCs w:val="26"/>
        </w:rPr>
        <w:t xml:space="preserve">terviene </w:t>
      </w:r>
      <w:r w:rsidR="0041437F">
        <w:rPr>
          <w:rFonts w:ascii="Times New Roman" w:eastAsia="Times New Roman" w:hAnsi="Times New Roman" w:cs="Times New Roman"/>
          <w:sz w:val="26"/>
          <w:szCs w:val="26"/>
        </w:rPr>
        <w:t>anticipa</w:t>
      </w:r>
      <w:r w:rsidR="0058632B">
        <w:rPr>
          <w:rFonts w:ascii="Times New Roman" w:eastAsia="Times New Roman" w:hAnsi="Times New Roman" w:cs="Times New Roman"/>
          <w:sz w:val="26"/>
          <w:szCs w:val="26"/>
        </w:rPr>
        <w:t>ndo</w:t>
      </w:r>
      <w:r w:rsidRPr="0041437F">
        <w:rPr>
          <w:rFonts w:ascii="Times New Roman" w:eastAsia="Times New Roman" w:hAnsi="Times New Roman" w:cs="Times New Roman"/>
          <w:sz w:val="26"/>
          <w:szCs w:val="26"/>
        </w:rPr>
        <w:t xml:space="preserve"> che la </w:t>
      </w:r>
      <w:r w:rsidR="0072274B" w:rsidRPr="0041437F">
        <w:rPr>
          <w:rFonts w:ascii="Times New Roman" w:eastAsia="Times New Roman" w:hAnsi="Times New Roman" w:cs="Times New Roman"/>
          <w:sz w:val="26"/>
          <w:szCs w:val="26"/>
        </w:rPr>
        <w:t>DR</w:t>
      </w:r>
      <w:r w:rsidRPr="0041437F">
        <w:rPr>
          <w:rFonts w:ascii="Times New Roman" w:eastAsia="Times New Roman" w:hAnsi="Times New Roman" w:cs="Times New Roman"/>
          <w:sz w:val="26"/>
          <w:szCs w:val="26"/>
        </w:rPr>
        <w:t xml:space="preserve"> sta per chieder</w:t>
      </w:r>
      <w:r w:rsidR="0072274B" w:rsidRPr="0041437F">
        <w:rPr>
          <w:rFonts w:ascii="Times New Roman" w:eastAsia="Times New Roman" w:hAnsi="Times New Roman" w:cs="Times New Roman"/>
          <w:sz w:val="26"/>
          <w:szCs w:val="26"/>
        </w:rPr>
        <w:t>e</w:t>
      </w:r>
      <w:r w:rsidRPr="0041437F">
        <w:rPr>
          <w:rFonts w:ascii="Times New Roman" w:eastAsia="Times New Roman" w:hAnsi="Times New Roman" w:cs="Times New Roman"/>
          <w:sz w:val="26"/>
          <w:szCs w:val="26"/>
        </w:rPr>
        <w:t xml:space="preserve"> agli </w:t>
      </w:r>
      <w:r w:rsidR="0072274B" w:rsidRPr="0041437F">
        <w:rPr>
          <w:rFonts w:ascii="Times New Roman" w:eastAsia="Times New Roman" w:hAnsi="Times New Roman" w:cs="Times New Roman"/>
          <w:sz w:val="26"/>
          <w:szCs w:val="26"/>
        </w:rPr>
        <w:t>O</w:t>
      </w:r>
      <w:r w:rsidRPr="0041437F">
        <w:rPr>
          <w:rFonts w:ascii="Times New Roman" w:eastAsia="Times New Roman" w:hAnsi="Times New Roman" w:cs="Times New Roman"/>
          <w:sz w:val="26"/>
          <w:szCs w:val="26"/>
        </w:rPr>
        <w:t>rdini di comunicare con tempestività i provvedimenti di sospensione</w:t>
      </w:r>
      <w:r w:rsidR="0058632B">
        <w:rPr>
          <w:rFonts w:ascii="Times New Roman" w:eastAsia="Times New Roman" w:hAnsi="Times New Roman" w:cs="Times New Roman"/>
          <w:sz w:val="26"/>
          <w:szCs w:val="26"/>
        </w:rPr>
        <w:t xml:space="preserve"> e radiazione dall’Albo</w:t>
      </w:r>
      <w:r w:rsidRPr="0041437F">
        <w:rPr>
          <w:rFonts w:ascii="Times New Roman" w:eastAsia="Times New Roman" w:hAnsi="Times New Roman" w:cs="Times New Roman"/>
          <w:sz w:val="26"/>
          <w:szCs w:val="26"/>
        </w:rPr>
        <w:t xml:space="preserve"> </w:t>
      </w:r>
      <w:r w:rsidR="0058632B">
        <w:rPr>
          <w:rFonts w:ascii="Times New Roman" w:eastAsia="Times New Roman" w:hAnsi="Times New Roman" w:cs="Times New Roman"/>
          <w:sz w:val="26"/>
          <w:szCs w:val="26"/>
        </w:rPr>
        <w:t>che, ricorda, rilevano</w:t>
      </w:r>
      <w:r w:rsidRPr="0041437F">
        <w:rPr>
          <w:rFonts w:ascii="Times New Roman" w:eastAsia="Times New Roman" w:hAnsi="Times New Roman" w:cs="Times New Roman"/>
          <w:sz w:val="26"/>
          <w:szCs w:val="26"/>
        </w:rPr>
        <w:t xml:space="preserve"> ai fini dell’esclusione dall’elenco di professionisti abilitati per il visto</w:t>
      </w:r>
      <w:r w:rsidR="0058632B">
        <w:rPr>
          <w:rFonts w:ascii="Times New Roman" w:eastAsia="Times New Roman" w:hAnsi="Times New Roman" w:cs="Times New Roman"/>
          <w:sz w:val="26"/>
          <w:szCs w:val="26"/>
        </w:rPr>
        <w:t xml:space="preserve"> di conformità</w:t>
      </w:r>
      <w:r w:rsidRPr="0041437F">
        <w:rPr>
          <w:rFonts w:ascii="Times New Roman" w:eastAsia="Times New Roman" w:hAnsi="Times New Roman" w:cs="Times New Roman"/>
          <w:sz w:val="26"/>
          <w:szCs w:val="26"/>
        </w:rPr>
        <w:t xml:space="preserve">. </w:t>
      </w:r>
    </w:p>
    <w:p w14:paraId="5CFDF434" w14:textId="0CACBB02" w:rsidR="0041437F" w:rsidRDefault="0058632B" w:rsidP="0041437F">
      <w:pPr>
        <w:pStyle w:val="Paragrafoelenco"/>
        <w:numPr>
          <w:ilvl w:val="0"/>
          <w:numId w:val="0"/>
        </w:numPr>
        <w:spacing w:line="240" w:lineRule="auto"/>
        <w:ind w:left="426"/>
        <w:rPr>
          <w:rFonts w:ascii="Times New Roman" w:eastAsia="Times New Roman" w:hAnsi="Times New Roman" w:cs="Times New Roman"/>
          <w:sz w:val="26"/>
          <w:szCs w:val="26"/>
        </w:rPr>
      </w:pPr>
      <w:r>
        <w:rPr>
          <w:rFonts w:ascii="Times New Roman" w:eastAsia="Times New Roman" w:hAnsi="Times New Roman" w:cs="Times New Roman"/>
          <w:sz w:val="26"/>
          <w:szCs w:val="26"/>
        </w:rPr>
        <w:t>Precisa che l</w:t>
      </w:r>
      <w:r w:rsidR="002561AA" w:rsidRPr="0041437F">
        <w:rPr>
          <w:rFonts w:ascii="Times New Roman" w:eastAsia="Times New Roman" w:hAnsi="Times New Roman" w:cs="Times New Roman"/>
          <w:sz w:val="26"/>
          <w:szCs w:val="26"/>
        </w:rPr>
        <w:t xml:space="preserve">’iniziativa nasce </w:t>
      </w:r>
      <w:r w:rsidR="0041437F">
        <w:rPr>
          <w:rFonts w:ascii="Times New Roman" w:eastAsia="Times New Roman" w:hAnsi="Times New Roman" w:cs="Times New Roman"/>
          <w:sz w:val="26"/>
          <w:szCs w:val="26"/>
        </w:rPr>
        <w:t>dalle no</w:t>
      </w:r>
      <w:r>
        <w:rPr>
          <w:rFonts w:ascii="Times New Roman" w:eastAsia="Times New Roman" w:hAnsi="Times New Roman" w:cs="Times New Roman"/>
          <w:sz w:val="26"/>
          <w:szCs w:val="26"/>
        </w:rPr>
        <w:t>tizie di stampa relative a frodi</w:t>
      </w:r>
      <w:r w:rsidR="0041437F">
        <w:rPr>
          <w:rFonts w:ascii="Times New Roman" w:eastAsia="Times New Roman" w:hAnsi="Times New Roman" w:cs="Times New Roman"/>
          <w:sz w:val="26"/>
          <w:szCs w:val="26"/>
        </w:rPr>
        <w:t xml:space="preserve"> connesse ai bonus edilizi e sottolinea l’importanza di acquisire tali informazioni.</w:t>
      </w:r>
    </w:p>
    <w:p w14:paraId="57238B7C" w14:textId="14FF2731" w:rsidR="00CE22DD" w:rsidRPr="0041437F" w:rsidRDefault="002561AA" w:rsidP="0041437F">
      <w:pPr>
        <w:pStyle w:val="Paragrafoelenco"/>
        <w:numPr>
          <w:ilvl w:val="0"/>
          <w:numId w:val="0"/>
        </w:numPr>
        <w:spacing w:line="240" w:lineRule="auto"/>
        <w:ind w:left="426"/>
        <w:rPr>
          <w:rFonts w:ascii="Times New Roman" w:hAnsi="Times New Roman" w:cs="Times New Roman"/>
          <w:sz w:val="26"/>
          <w:szCs w:val="26"/>
        </w:rPr>
      </w:pPr>
      <w:r w:rsidRPr="0041437F">
        <w:rPr>
          <w:rFonts w:ascii="Times New Roman" w:eastAsia="Times New Roman" w:hAnsi="Times New Roman" w:cs="Times New Roman"/>
          <w:sz w:val="26"/>
          <w:szCs w:val="26"/>
        </w:rPr>
        <w:t>Gelosa informa che dall’8 novembr</w:t>
      </w:r>
      <w:r w:rsidR="0041437F">
        <w:rPr>
          <w:rFonts w:ascii="Times New Roman" w:eastAsia="Times New Roman" w:hAnsi="Times New Roman" w:cs="Times New Roman"/>
          <w:sz w:val="26"/>
          <w:szCs w:val="26"/>
        </w:rPr>
        <w:t>e le informazioni sono in linea: c</w:t>
      </w:r>
      <w:r w:rsidRPr="0041437F">
        <w:rPr>
          <w:rFonts w:ascii="Times New Roman" w:eastAsia="Times New Roman" w:hAnsi="Times New Roman" w:cs="Times New Roman"/>
          <w:sz w:val="26"/>
          <w:szCs w:val="26"/>
        </w:rPr>
        <w:t xml:space="preserve">’è un’apposita procedura prevista per cui non </w:t>
      </w:r>
      <w:r w:rsidR="0072274B" w:rsidRPr="0041437F">
        <w:rPr>
          <w:rFonts w:ascii="Times New Roman" w:eastAsia="Times New Roman" w:hAnsi="Times New Roman" w:cs="Times New Roman"/>
          <w:sz w:val="26"/>
          <w:szCs w:val="26"/>
        </w:rPr>
        <w:t>sarebbe necessario c</w:t>
      </w:r>
      <w:r w:rsidRPr="0041437F">
        <w:rPr>
          <w:rFonts w:ascii="Times New Roman" w:eastAsia="Times New Roman" w:hAnsi="Times New Roman" w:cs="Times New Roman"/>
          <w:sz w:val="26"/>
          <w:szCs w:val="26"/>
        </w:rPr>
        <w:t>hieder</w:t>
      </w:r>
      <w:r w:rsidR="0072274B" w:rsidRPr="0041437F">
        <w:rPr>
          <w:rFonts w:ascii="Times New Roman" w:eastAsia="Times New Roman" w:hAnsi="Times New Roman" w:cs="Times New Roman"/>
          <w:sz w:val="26"/>
          <w:szCs w:val="26"/>
        </w:rPr>
        <w:t>e</w:t>
      </w:r>
      <w:r w:rsidRPr="0041437F">
        <w:rPr>
          <w:rFonts w:ascii="Times New Roman" w:eastAsia="Times New Roman" w:hAnsi="Times New Roman" w:cs="Times New Roman"/>
          <w:sz w:val="26"/>
          <w:szCs w:val="26"/>
        </w:rPr>
        <w:t xml:space="preserve"> agli </w:t>
      </w:r>
      <w:r w:rsidR="0072274B" w:rsidRPr="0041437F">
        <w:rPr>
          <w:rFonts w:ascii="Times New Roman" w:eastAsia="Times New Roman" w:hAnsi="Times New Roman" w:cs="Times New Roman"/>
          <w:sz w:val="26"/>
          <w:szCs w:val="26"/>
        </w:rPr>
        <w:t>Ordini;</w:t>
      </w:r>
      <w:r w:rsidRPr="0041437F">
        <w:rPr>
          <w:rFonts w:ascii="Times New Roman" w:eastAsia="Times New Roman" w:hAnsi="Times New Roman" w:cs="Times New Roman"/>
          <w:sz w:val="26"/>
          <w:szCs w:val="26"/>
        </w:rPr>
        <w:t xml:space="preserve"> prop</w:t>
      </w:r>
      <w:r w:rsidR="0058632B">
        <w:rPr>
          <w:rFonts w:ascii="Times New Roman" w:eastAsia="Times New Roman" w:hAnsi="Times New Roman" w:cs="Times New Roman"/>
          <w:sz w:val="26"/>
          <w:szCs w:val="26"/>
        </w:rPr>
        <w:t>one di confrontarsi con i</w:t>
      </w:r>
      <w:r w:rsidR="0072274B" w:rsidRPr="0041437F">
        <w:rPr>
          <w:rFonts w:ascii="Times New Roman" w:eastAsia="Times New Roman" w:hAnsi="Times New Roman" w:cs="Times New Roman"/>
          <w:sz w:val="26"/>
          <w:szCs w:val="26"/>
        </w:rPr>
        <w:t>l centro</w:t>
      </w:r>
      <w:r w:rsidR="0041437F">
        <w:rPr>
          <w:rFonts w:ascii="Times New Roman" w:eastAsia="Times New Roman" w:hAnsi="Times New Roman" w:cs="Times New Roman"/>
          <w:sz w:val="26"/>
          <w:szCs w:val="26"/>
        </w:rPr>
        <w:t>,</w:t>
      </w:r>
      <w:r w:rsidR="0072274B" w:rsidRPr="0041437F">
        <w:rPr>
          <w:rFonts w:ascii="Times New Roman" w:eastAsia="Times New Roman" w:hAnsi="Times New Roman" w:cs="Times New Roman"/>
          <w:sz w:val="26"/>
          <w:szCs w:val="26"/>
        </w:rPr>
        <w:t xml:space="preserve"> </w:t>
      </w:r>
      <w:r w:rsidRPr="0041437F">
        <w:rPr>
          <w:rFonts w:ascii="Times New Roman" w:eastAsia="Times New Roman" w:hAnsi="Times New Roman" w:cs="Times New Roman"/>
          <w:sz w:val="26"/>
          <w:szCs w:val="26"/>
        </w:rPr>
        <w:t>perché i dati dovrebbero già essere nella diponibilità dell’</w:t>
      </w:r>
      <w:r w:rsidR="0072274B" w:rsidRPr="0041437F">
        <w:rPr>
          <w:rFonts w:ascii="Times New Roman" w:eastAsia="Times New Roman" w:hAnsi="Times New Roman" w:cs="Times New Roman"/>
          <w:sz w:val="26"/>
          <w:szCs w:val="26"/>
        </w:rPr>
        <w:t>A</w:t>
      </w:r>
      <w:r w:rsidR="0041437F">
        <w:rPr>
          <w:rFonts w:ascii="Times New Roman" w:eastAsia="Times New Roman" w:hAnsi="Times New Roman" w:cs="Times New Roman"/>
          <w:sz w:val="26"/>
          <w:szCs w:val="26"/>
        </w:rPr>
        <w:t>genzia, anche se non ancora consultabili dagli Uffici.</w:t>
      </w:r>
    </w:p>
    <w:p w14:paraId="33AC0CDF" w14:textId="6A76A113" w:rsidR="005E61BD" w:rsidRDefault="005E61BD" w:rsidP="0032216B">
      <w:pPr>
        <w:numPr>
          <w:ilvl w:val="0"/>
          <w:numId w:val="0"/>
        </w:numPr>
        <w:spacing w:line="240" w:lineRule="auto"/>
      </w:pPr>
    </w:p>
    <w:p w14:paraId="3E20CC04" w14:textId="0D34181F" w:rsidR="00F45AB1" w:rsidRDefault="00F45AB1" w:rsidP="0032216B">
      <w:pPr>
        <w:pStyle w:val="Testonormale1"/>
        <w:spacing w:after="120"/>
        <w:jc w:val="both"/>
      </w:pPr>
      <w:r>
        <w:rPr>
          <w:rFonts w:ascii="Times New Roman" w:eastAsia="Times New Roman" w:hAnsi="Times New Roman"/>
          <w:sz w:val="26"/>
          <w:szCs w:val="26"/>
          <w:lang w:eastAsia="it-IT"/>
        </w:rPr>
        <w:t>La riunione si chiude alle 1</w:t>
      </w:r>
      <w:r w:rsidR="0072274B">
        <w:rPr>
          <w:rFonts w:ascii="Times New Roman" w:eastAsia="Times New Roman" w:hAnsi="Times New Roman"/>
          <w:sz w:val="26"/>
          <w:szCs w:val="26"/>
          <w:lang w:eastAsia="it-IT"/>
        </w:rPr>
        <w:t>4</w:t>
      </w:r>
      <w:r>
        <w:rPr>
          <w:rFonts w:ascii="Times New Roman" w:eastAsia="Times New Roman" w:hAnsi="Times New Roman"/>
          <w:sz w:val="26"/>
          <w:szCs w:val="26"/>
          <w:lang w:eastAsia="it-IT"/>
        </w:rPr>
        <w:t xml:space="preserve"> e il prossimo incontro è fissato per </w:t>
      </w:r>
      <w:r>
        <w:rPr>
          <w:rFonts w:ascii="Times New Roman" w:eastAsia="Times New Roman" w:hAnsi="Times New Roman"/>
          <w:b/>
          <w:sz w:val="26"/>
          <w:szCs w:val="26"/>
          <w:lang w:eastAsia="it-IT"/>
        </w:rPr>
        <w:t>il</w:t>
      </w:r>
      <w:r w:rsidR="00FF432A">
        <w:rPr>
          <w:rFonts w:ascii="Times New Roman" w:eastAsia="Times New Roman" w:hAnsi="Times New Roman"/>
          <w:b/>
          <w:sz w:val="26"/>
          <w:szCs w:val="26"/>
          <w:lang w:eastAsia="it-IT"/>
        </w:rPr>
        <w:t xml:space="preserve"> </w:t>
      </w:r>
      <w:r w:rsidR="00BD5E80">
        <w:rPr>
          <w:rFonts w:ascii="Times New Roman" w:eastAsia="Times New Roman" w:hAnsi="Times New Roman"/>
          <w:b/>
          <w:sz w:val="26"/>
          <w:szCs w:val="26"/>
          <w:lang w:eastAsia="it-IT"/>
        </w:rPr>
        <w:t xml:space="preserve">prossimo 11 </w:t>
      </w:r>
      <w:r w:rsidR="0072274B">
        <w:rPr>
          <w:rFonts w:ascii="Times New Roman" w:eastAsia="Times New Roman" w:hAnsi="Times New Roman"/>
          <w:b/>
          <w:sz w:val="26"/>
          <w:szCs w:val="26"/>
          <w:lang w:eastAsia="it-IT"/>
        </w:rPr>
        <w:t>aprile alle</w:t>
      </w:r>
      <w:r w:rsidR="00BD5E80">
        <w:rPr>
          <w:rFonts w:ascii="Times New Roman" w:eastAsia="Times New Roman" w:hAnsi="Times New Roman"/>
          <w:b/>
          <w:sz w:val="26"/>
          <w:szCs w:val="26"/>
          <w:lang w:eastAsia="it-IT"/>
        </w:rPr>
        <w:t xml:space="preserve"> ore 15 c</w:t>
      </w:r>
      <w:r>
        <w:rPr>
          <w:rFonts w:ascii="Times New Roman" w:eastAsia="Times New Roman" w:hAnsi="Times New Roman"/>
          <w:b/>
          <w:sz w:val="26"/>
          <w:szCs w:val="26"/>
          <w:lang w:eastAsia="it-IT"/>
        </w:rPr>
        <w:t xml:space="preserve">on </w:t>
      </w:r>
      <w:proofErr w:type="spellStart"/>
      <w:r>
        <w:rPr>
          <w:rFonts w:ascii="Times New Roman" w:eastAsia="Times New Roman" w:hAnsi="Times New Roman"/>
          <w:b/>
          <w:sz w:val="26"/>
          <w:szCs w:val="26"/>
          <w:lang w:eastAsia="it-IT"/>
        </w:rPr>
        <w:t>lifesize</w:t>
      </w:r>
      <w:proofErr w:type="spellEnd"/>
      <w:r>
        <w:rPr>
          <w:rFonts w:ascii="Times New Roman" w:eastAsia="Times New Roman" w:hAnsi="Times New Roman"/>
          <w:b/>
          <w:sz w:val="26"/>
          <w:szCs w:val="26"/>
          <w:lang w:eastAsia="it-IT"/>
        </w:rPr>
        <w:t xml:space="preserve">. </w:t>
      </w:r>
      <w:r>
        <w:rPr>
          <w:rFonts w:ascii="Times New Roman" w:eastAsia="Times New Roman" w:hAnsi="Times New Roman"/>
          <w:sz w:val="26"/>
          <w:szCs w:val="26"/>
          <w:lang w:eastAsia="it-IT"/>
        </w:rPr>
        <w:t>Ogliari manderà l’invito all’incontro.</w:t>
      </w:r>
    </w:p>
    <w:p w14:paraId="0B3F8E79" w14:textId="77777777" w:rsidR="00F45AB1" w:rsidRDefault="00F45AB1" w:rsidP="0032216B">
      <w:pPr>
        <w:pStyle w:val="Testonormale1"/>
        <w:spacing w:after="120"/>
        <w:jc w:val="both"/>
        <w:rPr>
          <w:rFonts w:ascii="Times New Roman" w:eastAsia="Times New Roman" w:hAnsi="Times New Roman"/>
          <w:sz w:val="26"/>
          <w:szCs w:val="26"/>
          <w:lang w:eastAsia="it-IT"/>
        </w:rPr>
      </w:pPr>
    </w:p>
    <w:p w14:paraId="20496358" w14:textId="77777777" w:rsidR="00F45AB1" w:rsidRDefault="00F45AB1" w:rsidP="002561AA">
      <w:pPr>
        <w:numPr>
          <w:ilvl w:val="0"/>
          <w:numId w:val="0"/>
        </w:numPr>
        <w:spacing w:line="240" w:lineRule="auto"/>
        <w:jc w:val="center"/>
      </w:pPr>
      <w:r>
        <w:t>Il Segretario</w:t>
      </w:r>
    </w:p>
    <w:p w14:paraId="3A74E0F7" w14:textId="5F78D2F9" w:rsidR="00F45AB1" w:rsidRDefault="00F45AB1" w:rsidP="002561AA">
      <w:pPr>
        <w:numPr>
          <w:ilvl w:val="0"/>
          <w:numId w:val="0"/>
        </w:numPr>
        <w:spacing w:line="240" w:lineRule="auto"/>
        <w:jc w:val="center"/>
      </w:pPr>
      <w:r>
        <w:t xml:space="preserve">Sonia </w:t>
      </w:r>
      <w:proofErr w:type="spellStart"/>
      <w:r>
        <w:t>Ogliari</w:t>
      </w:r>
      <w:proofErr w:type="spellEnd"/>
    </w:p>
    <w:p w14:paraId="39427BA4" w14:textId="468E0C9B" w:rsidR="002561AA" w:rsidRDefault="002561AA" w:rsidP="0032216B">
      <w:pPr>
        <w:numPr>
          <w:ilvl w:val="0"/>
          <w:numId w:val="0"/>
        </w:numPr>
        <w:spacing w:line="240" w:lineRule="auto"/>
      </w:pPr>
    </w:p>
    <w:p w14:paraId="528681D4" w14:textId="77777777" w:rsidR="002561AA" w:rsidRDefault="002561AA" w:rsidP="0032216B">
      <w:pPr>
        <w:numPr>
          <w:ilvl w:val="0"/>
          <w:numId w:val="0"/>
        </w:numPr>
        <w:spacing w:line="240" w:lineRule="auto"/>
      </w:pPr>
    </w:p>
    <w:tbl>
      <w:tblPr>
        <w:tblW w:w="9869" w:type="dxa"/>
        <w:tblInd w:w="108" w:type="dxa"/>
        <w:tblLayout w:type="fixed"/>
        <w:tblLook w:val="0000" w:firstRow="0" w:lastRow="0" w:firstColumn="0" w:lastColumn="0" w:noHBand="0" w:noVBand="0"/>
      </w:tblPr>
      <w:tblGrid>
        <w:gridCol w:w="4928"/>
        <w:gridCol w:w="4941"/>
      </w:tblGrid>
      <w:tr w:rsidR="00F45AB1" w14:paraId="4803D178" w14:textId="77777777" w:rsidTr="00FB27CC">
        <w:trPr>
          <w:trHeight w:val="951"/>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30E72DD6" w14:textId="77777777" w:rsidR="00F45AB1" w:rsidRDefault="00F45AB1" w:rsidP="0032216B">
            <w:pPr>
              <w:numPr>
                <w:ilvl w:val="0"/>
                <w:numId w:val="0"/>
              </w:numPr>
              <w:spacing w:line="240" w:lineRule="auto"/>
            </w:pPr>
            <w:r>
              <w:t>ALFONSO ORABONA</w:t>
            </w:r>
          </w:p>
        </w:tc>
        <w:tc>
          <w:tcPr>
            <w:tcW w:w="4941" w:type="dxa"/>
            <w:tcBorders>
              <w:top w:val="single" w:sz="4" w:space="0" w:color="000000"/>
              <w:left w:val="single" w:sz="4" w:space="0" w:color="000000"/>
              <w:bottom w:val="single" w:sz="4" w:space="0" w:color="000000"/>
              <w:right w:val="single" w:sz="4" w:space="0" w:color="000000"/>
            </w:tcBorders>
            <w:shd w:val="clear" w:color="auto" w:fill="auto"/>
          </w:tcPr>
          <w:p w14:paraId="2FD636DF" w14:textId="77777777" w:rsidR="00F45AB1" w:rsidRDefault="00F45AB1" w:rsidP="0032216B">
            <w:pPr>
              <w:numPr>
                <w:ilvl w:val="0"/>
                <w:numId w:val="0"/>
              </w:numPr>
              <w:spacing w:line="240" w:lineRule="auto"/>
            </w:pPr>
            <w:r>
              <w:t>SANDRO LITIGIO</w:t>
            </w:r>
          </w:p>
        </w:tc>
      </w:tr>
      <w:tr w:rsidR="00F45AB1" w14:paraId="7C004AD0" w14:textId="77777777" w:rsidTr="00FB27CC">
        <w:trPr>
          <w:trHeight w:val="951"/>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5587B4DF" w14:textId="77777777" w:rsidR="00F45AB1" w:rsidRDefault="00F45AB1" w:rsidP="0032216B">
            <w:pPr>
              <w:numPr>
                <w:ilvl w:val="0"/>
                <w:numId w:val="0"/>
              </w:numPr>
              <w:spacing w:line="240" w:lineRule="auto"/>
            </w:pPr>
            <w:r>
              <w:t>PAOLA ALFIERI</w:t>
            </w:r>
          </w:p>
        </w:tc>
        <w:tc>
          <w:tcPr>
            <w:tcW w:w="4941" w:type="dxa"/>
            <w:tcBorders>
              <w:top w:val="single" w:sz="4" w:space="0" w:color="000000"/>
              <w:left w:val="single" w:sz="4" w:space="0" w:color="000000"/>
              <w:bottom w:val="single" w:sz="4" w:space="0" w:color="000000"/>
              <w:right w:val="single" w:sz="4" w:space="0" w:color="000000"/>
            </w:tcBorders>
            <w:shd w:val="clear" w:color="auto" w:fill="auto"/>
          </w:tcPr>
          <w:p w14:paraId="5232A567" w14:textId="77777777" w:rsidR="00F45AB1" w:rsidRDefault="00F45AB1" w:rsidP="0032216B">
            <w:pPr>
              <w:numPr>
                <w:ilvl w:val="0"/>
                <w:numId w:val="0"/>
              </w:numPr>
              <w:spacing w:line="240" w:lineRule="auto"/>
            </w:pPr>
            <w:r>
              <w:t>GIBERTO GELOSA</w:t>
            </w:r>
          </w:p>
        </w:tc>
      </w:tr>
      <w:tr w:rsidR="00F45AB1" w14:paraId="64FC0B92" w14:textId="77777777" w:rsidTr="00FB27CC">
        <w:trPr>
          <w:trHeight w:val="951"/>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32430B12" w14:textId="77777777" w:rsidR="00F45AB1" w:rsidRDefault="00F45AB1" w:rsidP="0032216B">
            <w:pPr>
              <w:numPr>
                <w:ilvl w:val="0"/>
                <w:numId w:val="0"/>
              </w:numPr>
              <w:spacing w:line="240" w:lineRule="auto"/>
            </w:pPr>
            <w:r>
              <w:t>CHRISTIAN AURICCHIO</w:t>
            </w:r>
          </w:p>
        </w:tc>
        <w:tc>
          <w:tcPr>
            <w:tcW w:w="4941" w:type="dxa"/>
            <w:tcBorders>
              <w:top w:val="single" w:sz="4" w:space="0" w:color="000000"/>
              <w:left w:val="single" w:sz="4" w:space="0" w:color="000000"/>
              <w:bottom w:val="single" w:sz="4" w:space="0" w:color="000000"/>
              <w:right w:val="single" w:sz="4" w:space="0" w:color="000000"/>
            </w:tcBorders>
            <w:shd w:val="clear" w:color="auto" w:fill="auto"/>
          </w:tcPr>
          <w:p w14:paraId="510C6E9B" w14:textId="77777777" w:rsidR="00F45AB1" w:rsidRDefault="00FB27CC" w:rsidP="0032216B">
            <w:pPr>
              <w:numPr>
                <w:ilvl w:val="0"/>
                <w:numId w:val="0"/>
              </w:numPr>
              <w:spacing w:line="240" w:lineRule="auto"/>
            </w:pPr>
            <w:r>
              <w:t>GUIDO BELTRAME</w:t>
            </w:r>
          </w:p>
        </w:tc>
      </w:tr>
      <w:tr w:rsidR="00F45AB1" w14:paraId="1B031233" w14:textId="77777777" w:rsidTr="00FB27CC">
        <w:trPr>
          <w:trHeight w:val="951"/>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3454C305" w14:textId="6C906F4D" w:rsidR="00F45AB1" w:rsidRDefault="00C161B2" w:rsidP="0032216B">
            <w:pPr>
              <w:numPr>
                <w:ilvl w:val="0"/>
                <w:numId w:val="0"/>
              </w:numPr>
              <w:spacing w:line="240" w:lineRule="auto"/>
            </w:pPr>
            <w:r>
              <w:t>GIUSEPPE MALINCONICO</w:t>
            </w:r>
          </w:p>
        </w:tc>
        <w:tc>
          <w:tcPr>
            <w:tcW w:w="4941" w:type="dxa"/>
            <w:tcBorders>
              <w:top w:val="single" w:sz="4" w:space="0" w:color="000000"/>
              <w:left w:val="single" w:sz="4" w:space="0" w:color="000000"/>
              <w:bottom w:val="single" w:sz="4" w:space="0" w:color="000000"/>
              <w:right w:val="single" w:sz="4" w:space="0" w:color="000000"/>
            </w:tcBorders>
            <w:shd w:val="clear" w:color="auto" w:fill="auto"/>
          </w:tcPr>
          <w:p w14:paraId="32CA6EA2" w14:textId="77777777" w:rsidR="00F45AB1" w:rsidRDefault="00FB27CC" w:rsidP="0032216B">
            <w:pPr>
              <w:numPr>
                <w:ilvl w:val="0"/>
                <w:numId w:val="0"/>
              </w:numPr>
              <w:spacing w:line="240" w:lineRule="auto"/>
            </w:pPr>
            <w:r>
              <w:t>MARCO BARASSI</w:t>
            </w:r>
          </w:p>
        </w:tc>
      </w:tr>
      <w:tr w:rsidR="00F45AB1" w14:paraId="00F728E5" w14:textId="77777777" w:rsidTr="00FB27CC">
        <w:trPr>
          <w:trHeight w:val="951"/>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5FDDDDBB" w14:textId="45C287A6" w:rsidR="00F45AB1" w:rsidRDefault="00C161B2" w:rsidP="0032216B">
            <w:pPr>
              <w:numPr>
                <w:ilvl w:val="0"/>
                <w:numId w:val="0"/>
              </w:numPr>
              <w:spacing w:line="240" w:lineRule="auto"/>
            </w:pPr>
            <w:r>
              <w:t>PIETRO GIULIO SCUTIFERO</w:t>
            </w:r>
          </w:p>
        </w:tc>
        <w:tc>
          <w:tcPr>
            <w:tcW w:w="4941" w:type="dxa"/>
            <w:tcBorders>
              <w:top w:val="single" w:sz="4" w:space="0" w:color="000000"/>
              <w:left w:val="single" w:sz="4" w:space="0" w:color="000000"/>
              <w:bottom w:val="single" w:sz="4" w:space="0" w:color="000000"/>
              <w:right w:val="single" w:sz="4" w:space="0" w:color="000000"/>
            </w:tcBorders>
            <w:shd w:val="clear" w:color="auto" w:fill="auto"/>
          </w:tcPr>
          <w:p w14:paraId="5D903968" w14:textId="77777777" w:rsidR="00F45AB1" w:rsidRDefault="00FB27CC" w:rsidP="0032216B">
            <w:pPr>
              <w:numPr>
                <w:ilvl w:val="0"/>
                <w:numId w:val="0"/>
              </w:numPr>
              <w:spacing w:line="240" w:lineRule="auto"/>
            </w:pPr>
            <w:r>
              <w:t>NICOLA FRANGI</w:t>
            </w:r>
          </w:p>
        </w:tc>
      </w:tr>
      <w:tr w:rsidR="00FB27CC" w14:paraId="4EA811C4" w14:textId="77777777" w:rsidTr="00FB27CC">
        <w:trPr>
          <w:trHeight w:val="951"/>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24E89210" w14:textId="77777777" w:rsidR="00FB27CC" w:rsidRDefault="00FB27CC" w:rsidP="0032216B">
            <w:pPr>
              <w:numPr>
                <w:ilvl w:val="0"/>
                <w:numId w:val="0"/>
              </w:numPr>
              <w:snapToGrid w:val="0"/>
              <w:spacing w:line="240" w:lineRule="auto"/>
              <w:rPr>
                <w:b/>
              </w:rPr>
            </w:pPr>
          </w:p>
        </w:tc>
        <w:tc>
          <w:tcPr>
            <w:tcW w:w="4941" w:type="dxa"/>
            <w:tcBorders>
              <w:top w:val="single" w:sz="4" w:space="0" w:color="000000"/>
              <w:left w:val="single" w:sz="4" w:space="0" w:color="000000"/>
              <w:bottom w:val="single" w:sz="4" w:space="0" w:color="000000"/>
              <w:right w:val="single" w:sz="4" w:space="0" w:color="000000"/>
            </w:tcBorders>
            <w:shd w:val="clear" w:color="auto" w:fill="auto"/>
          </w:tcPr>
          <w:p w14:paraId="0938447C" w14:textId="77777777" w:rsidR="00FB27CC" w:rsidRDefault="00FB27CC" w:rsidP="0032216B">
            <w:pPr>
              <w:numPr>
                <w:ilvl w:val="0"/>
                <w:numId w:val="0"/>
              </w:numPr>
              <w:spacing w:line="240" w:lineRule="auto"/>
            </w:pPr>
            <w:r>
              <w:t>ANDREA SCAINI</w:t>
            </w:r>
          </w:p>
        </w:tc>
      </w:tr>
    </w:tbl>
    <w:p w14:paraId="20BE5DB1" w14:textId="77777777" w:rsidR="00F45AB1" w:rsidRDefault="00F45AB1" w:rsidP="0032216B">
      <w:pPr>
        <w:numPr>
          <w:ilvl w:val="0"/>
          <w:numId w:val="0"/>
        </w:numPr>
        <w:spacing w:line="240" w:lineRule="auto"/>
      </w:pPr>
    </w:p>
    <w:sectPr w:rsidR="00F45AB1">
      <w:headerReference w:type="default" r:id="rId8"/>
      <w:footerReference w:type="default" r:id="rId9"/>
      <w:headerReference w:type="first" r:id="rId10"/>
      <w:footerReference w:type="first" r:id="rId11"/>
      <w:pgSz w:w="11906" w:h="16838"/>
      <w:pgMar w:top="709" w:right="1080" w:bottom="1134" w:left="1080" w:header="284"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8BC98" w14:textId="77777777" w:rsidR="00E93A3B" w:rsidRDefault="00E93A3B">
      <w:pPr>
        <w:spacing w:after="0" w:line="240" w:lineRule="auto"/>
      </w:pPr>
      <w:r>
        <w:separator/>
      </w:r>
    </w:p>
  </w:endnote>
  <w:endnote w:type="continuationSeparator" w:id="0">
    <w:p w14:paraId="71FB1A7C" w14:textId="77777777" w:rsidR="00E93A3B" w:rsidRDefault="00E93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eb">
    <w:altName w:val="Courier New"/>
    <w:charset w:val="00"/>
    <w:family w:val="auto"/>
    <w:pitch w:val="variable"/>
    <w:sig w:usb0="00000007" w:usb1="00000001" w:usb2="00000000" w:usb3="00000000" w:csb0="00000093" w:csb1="00000000"/>
  </w:font>
  <w:font w:name="Times New Roman PSMT">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2A4ED" w14:textId="77777777" w:rsidR="00F45AB1" w:rsidRDefault="00F45AB1">
    <w:pPr>
      <w:numPr>
        <w:ilvl w:val="0"/>
        <w:numId w:val="0"/>
      </w:numPr>
    </w:pPr>
    <w:r>
      <w:t>Gruppo di lavoro Agenzia delle entrate/CODIS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37936" w14:textId="77777777" w:rsidR="00F45AB1" w:rsidRDefault="00F45AB1">
    <w:pPr>
      <w:numPr>
        <w:ilvl w:val="0"/>
        <w:numId w:val="0"/>
      </w:numPr>
    </w:pPr>
    <w:r>
      <w:t>Gruppo di lavoro Agenzia delle entrate/CODIS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DC45D" w14:textId="77777777" w:rsidR="00E93A3B" w:rsidRDefault="00E93A3B">
      <w:pPr>
        <w:spacing w:after="0" w:line="240" w:lineRule="auto"/>
      </w:pPr>
      <w:r>
        <w:separator/>
      </w:r>
    </w:p>
  </w:footnote>
  <w:footnote w:type="continuationSeparator" w:id="0">
    <w:p w14:paraId="17CE29D3" w14:textId="77777777" w:rsidR="00E93A3B" w:rsidRDefault="00E93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14584" w14:textId="77777777" w:rsidR="00F45AB1" w:rsidRDefault="00F45AB1">
    <w:pPr>
      <w:numPr>
        <w:ilvl w:val="0"/>
        <w:numId w:val="0"/>
      </w:numPr>
      <w:rPr>
        <w:lang w:eastAsia="it-IT"/>
      </w:rPr>
    </w:pPr>
  </w:p>
  <w:p w14:paraId="212499EB" w14:textId="77777777" w:rsidR="00F45AB1" w:rsidRDefault="00F45AB1">
    <w:pPr>
      <w:numPr>
        <w:ilvl w:val="0"/>
        <w:numId w:val="0"/>
      </w:num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B3ACA" w14:textId="77777777" w:rsidR="00F45AB1" w:rsidRDefault="00F45AB1">
    <w:pPr>
      <w:numPr>
        <w:ilvl w:val="0"/>
        <w:numId w:val="0"/>
      </w:numPr>
      <w:rPr>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itolo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linkcontenuti"/>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singleLevel"/>
    <w:tmpl w:val="00000003"/>
    <w:name w:val="WW8Num6"/>
    <w:lvl w:ilvl="0">
      <w:start w:val="1"/>
      <w:numFmt w:val="decimal"/>
      <w:lvlText w:val="%1)"/>
      <w:lvlJc w:val="left"/>
      <w:pPr>
        <w:tabs>
          <w:tab w:val="num" w:pos="0"/>
        </w:tabs>
        <w:ind w:left="927" w:hanging="360"/>
      </w:pPr>
      <w:rPr>
        <w:rFonts w:ascii="Times New Roman" w:eastAsia="Times New Roman" w:hAnsi="Times New Roman" w:cs="Times New Roman" w:hint="default"/>
        <w:sz w:val="26"/>
        <w:szCs w:val="26"/>
        <w:lang w:eastAsia="it-IT"/>
      </w:rPr>
    </w:lvl>
  </w:abstractNum>
  <w:abstractNum w:abstractNumId="3" w15:restartNumberingAfterBreak="0">
    <w:nsid w:val="00000004"/>
    <w:multiLevelType w:val="singleLevel"/>
    <w:tmpl w:val="00000004"/>
    <w:name w:val="WW8Num7"/>
    <w:lvl w:ilvl="0">
      <w:start w:val="1"/>
      <w:numFmt w:val="decimal"/>
      <w:lvlText w:val="%1."/>
      <w:lvlJc w:val="left"/>
      <w:pPr>
        <w:tabs>
          <w:tab w:val="num" w:pos="0"/>
        </w:tabs>
        <w:ind w:left="2007" w:hanging="360"/>
      </w:pPr>
      <w:rPr>
        <w:rFonts w:ascii="Times New Roman" w:eastAsia="Times New Roman" w:hAnsi="Times New Roman" w:cs="Times New Roman"/>
        <w:bCs/>
        <w:sz w:val="26"/>
        <w:szCs w:val="26"/>
        <w:lang w:eastAsia="it-IT"/>
      </w:rPr>
    </w:lvl>
  </w:abstractNum>
  <w:abstractNum w:abstractNumId="4" w15:restartNumberingAfterBreak="0">
    <w:nsid w:val="00000005"/>
    <w:multiLevelType w:val="singleLevel"/>
    <w:tmpl w:val="00000005"/>
    <w:name w:val="WW8Num13"/>
    <w:lvl w:ilvl="0">
      <w:start w:val="1"/>
      <w:numFmt w:val="bullet"/>
      <w:lvlText w:val=""/>
      <w:lvlJc w:val="left"/>
      <w:pPr>
        <w:tabs>
          <w:tab w:val="num" w:pos="0"/>
        </w:tabs>
        <w:ind w:left="1080" w:hanging="360"/>
      </w:pPr>
      <w:rPr>
        <w:rFonts w:ascii="Symbol" w:hAnsi="Symbol" w:cs="Symbol" w:hint="default"/>
      </w:rPr>
    </w:lvl>
  </w:abstractNum>
  <w:abstractNum w:abstractNumId="5" w15:restartNumberingAfterBreak="0">
    <w:nsid w:val="00000006"/>
    <w:multiLevelType w:val="singleLevel"/>
    <w:tmpl w:val="00000006"/>
    <w:name w:val="WW8Num22"/>
    <w:lvl w:ilvl="0">
      <w:start w:val="1"/>
      <w:numFmt w:val="bullet"/>
      <w:lvlText w:val=""/>
      <w:lvlJc w:val="left"/>
      <w:pPr>
        <w:tabs>
          <w:tab w:val="num" w:pos="0"/>
        </w:tabs>
        <w:ind w:left="1080" w:hanging="360"/>
      </w:pPr>
      <w:rPr>
        <w:rFonts w:ascii="Symbol" w:hAnsi="Symbol" w:cs="Symbol" w:hint="default"/>
      </w:rPr>
    </w:lvl>
  </w:abstractNum>
  <w:abstractNum w:abstractNumId="6" w15:restartNumberingAfterBreak="0">
    <w:nsid w:val="00000007"/>
    <w:multiLevelType w:val="singleLevel"/>
    <w:tmpl w:val="00000007"/>
    <w:name w:val="WW8Num23"/>
    <w:lvl w:ilvl="0">
      <w:start w:val="1"/>
      <w:numFmt w:val="decimal"/>
      <w:pStyle w:val="Normale"/>
      <w:lvlText w:val="%1."/>
      <w:lvlJc w:val="left"/>
      <w:pPr>
        <w:tabs>
          <w:tab w:val="num" w:pos="1920"/>
        </w:tabs>
        <w:ind w:left="1920" w:hanging="360"/>
      </w:pPr>
      <w:rPr>
        <w:rFonts w:hint="default"/>
      </w:rPr>
    </w:lvl>
  </w:abstractNum>
  <w:abstractNum w:abstractNumId="7" w15:restartNumberingAfterBreak="0">
    <w:nsid w:val="07CE0A4F"/>
    <w:multiLevelType w:val="hybridMultilevel"/>
    <w:tmpl w:val="39FCE9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477424B"/>
    <w:multiLevelType w:val="hybridMultilevel"/>
    <w:tmpl w:val="16BA4E5A"/>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4BE5FE5"/>
    <w:multiLevelType w:val="hybridMultilevel"/>
    <w:tmpl w:val="9C98F6E0"/>
    <w:lvl w:ilvl="0" w:tplc="BC162F78">
      <w:start w:val="1"/>
      <w:numFmt w:val="decimal"/>
      <w:lvlText w:val="%1)"/>
      <w:lvlJc w:val="left"/>
      <w:pPr>
        <w:ind w:left="502"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0F43AB9"/>
    <w:multiLevelType w:val="hybridMultilevel"/>
    <w:tmpl w:val="12E2AF5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D9A71AB"/>
    <w:multiLevelType w:val="hybridMultilevel"/>
    <w:tmpl w:val="1F0ED81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EF0514E"/>
    <w:multiLevelType w:val="hybridMultilevel"/>
    <w:tmpl w:val="E5BE698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4DC84224"/>
    <w:multiLevelType w:val="hybridMultilevel"/>
    <w:tmpl w:val="2310997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13337C0"/>
    <w:multiLevelType w:val="hybridMultilevel"/>
    <w:tmpl w:val="F16C43C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7C0BA1"/>
    <w:multiLevelType w:val="hybridMultilevel"/>
    <w:tmpl w:val="D188E3C0"/>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7BC21A6B"/>
    <w:multiLevelType w:val="hybridMultilevel"/>
    <w:tmpl w:val="409E566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5"/>
  </w:num>
  <w:num w:numId="9">
    <w:abstractNumId w:val="15"/>
  </w:num>
  <w:num w:numId="10">
    <w:abstractNumId w:val="12"/>
  </w:num>
  <w:num w:numId="11">
    <w:abstractNumId w:val="7"/>
  </w:num>
  <w:num w:numId="12">
    <w:abstractNumId w:val="8"/>
  </w:num>
  <w:num w:numId="13">
    <w:abstractNumId w:val="16"/>
  </w:num>
  <w:num w:numId="14">
    <w:abstractNumId w:val="9"/>
  </w:num>
  <w:num w:numId="15">
    <w:abstractNumId w:val="10"/>
  </w:num>
  <w:num w:numId="16">
    <w:abstractNumId w:val="11"/>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5CD"/>
    <w:rsid w:val="00003C9D"/>
    <w:rsid w:val="000074A6"/>
    <w:rsid w:val="00015374"/>
    <w:rsid w:val="000260F7"/>
    <w:rsid w:val="00050083"/>
    <w:rsid w:val="00055207"/>
    <w:rsid w:val="0006744B"/>
    <w:rsid w:val="00073B8D"/>
    <w:rsid w:val="00075801"/>
    <w:rsid w:val="0008482B"/>
    <w:rsid w:val="000939F0"/>
    <w:rsid w:val="000C30BE"/>
    <w:rsid w:val="000F47F5"/>
    <w:rsid w:val="0010525A"/>
    <w:rsid w:val="00114625"/>
    <w:rsid w:val="00134BEC"/>
    <w:rsid w:val="00145CFA"/>
    <w:rsid w:val="00174DE9"/>
    <w:rsid w:val="001F76D2"/>
    <w:rsid w:val="00212B1C"/>
    <w:rsid w:val="00233A78"/>
    <w:rsid w:val="00240E9B"/>
    <w:rsid w:val="00253D04"/>
    <w:rsid w:val="002561AA"/>
    <w:rsid w:val="00284161"/>
    <w:rsid w:val="002A3826"/>
    <w:rsid w:val="002B5B3F"/>
    <w:rsid w:val="002B5C03"/>
    <w:rsid w:val="002C2850"/>
    <w:rsid w:val="002E2B3E"/>
    <w:rsid w:val="0030210A"/>
    <w:rsid w:val="0030779E"/>
    <w:rsid w:val="00310964"/>
    <w:rsid w:val="0031577D"/>
    <w:rsid w:val="0032216B"/>
    <w:rsid w:val="00331424"/>
    <w:rsid w:val="00370E5C"/>
    <w:rsid w:val="003908ED"/>
    <w:rsid w:val="00391A3B"/>
    <w:rsid w:val="003D213E"/>
    <w:rsid w:val="0041437F"/>
    <w:rsid w:val="00416127"/>
    <w:rsid w:val="00442F1F"/>
    <w:rsid w:val="00443508"/>
    <w:rsid w:val="004509D6"/>
    <w:rsid w:val="00486075"/>
    <w:rsid w:val="004A6AEF"/>
    <w:rsid w:val="004E5479"/>
    <w:rsid w:val="004E6BD4"/>
    <w:rsid w:val="0053149E"/>
    <w:rsid w:val="00547CC1"/>
    <w:rsid w:val="0055517A"/>
    <w:rsid w:val="0058632B"/>
    <w:rsid w:val="00592370"/>
    <w:rsid w:val="00595F59"/>
    <w:rsid w:val="005971E6"/>
    <w:rsid w:val="005C32E8"/>
    <w:rsid w:val="005E61BD"/>
    <w:rsid w:val="006041E2"/>
    <w:rsid w:val="006178C4"/>
    <w:rsid w:val="0062074D"/>
    <w:rsid w:val="00651435"/>
    <w:rsid w:val="00664595"/>
    <w:rsid w:val="00665107"/>
    <w:rsid w:val="00675A23"/>
    <w:rsid w:val="00676D00"/>
    <w:rsid w:val="006A7279"/>
    <w:rsid w:val="006B46BE"/>
    <w:rsid w:val="006C122C"/>
    <w:rsid w:val="006C5A3F"/>
    <w:rsid w:val="006D1622"/>
    <w:rsid w:val="006E110D"/>
    <w:rsid w:val="006E6883"/>
    <w:rsid w:val="006F1D9B"/>
    <w:rsid w:val="00706B34"/>
    <w:rsid w:val="00715ACA"/>
    <w:rsid w:val="0072274B"/>
    <w:rsid w:val="00727DEE"/>
    <w:rsid w:val="007417F3"/>
    <w:rsid w:val="007536E0"/>
    <w:rsid w:val="00754BA2"/>
    <w:rsid w:val="007573D2"/>
    <w:rsid w:val="007809A6"/>
    <w:rsid w:val="007B2E51"/>
    <w:rsid w:val="007D1422"/>
    <w:rsid w:val="007D7EF5"/>
    <w:rsid w:val="007E54E3"/>
    <w:rsid w:val="008136A1"/>
    <w:rsid w:val="008136C9"/>
    <w:rsid w:val="00814ECF"/>
    <w:rsid w:val="00836208"/>
    <w:rsid w:val="00840EED"/>
    <w:rsid w:val="00844B2F"/>
    <w:rsid w:val="00851C3E"/>
    <w:rsid w:val="0085654D"/>
    <w:rsid w:val="00862BE0"/>
    <w:rsid w:val="0088459E"/>
    <w:rsid w:val="008B7346"/>
    <w:rsid w:val="008C3E44"/>
    <w:rsid w:val="008C7649"/>
    <w:rsid w:val="008D503F"/>
    <w:rsid w:val="008E43B4"/>
    <w:rsid w:val="008E6C11"/>
    <w:rsid w:val="008F4E4C"/>
    <w:rsid w:val="00910F33"/>
    <w:rsid w:val="009217F9"/>
    <w:rsid w:val="00926A15"/>
    <w:rsid w:val="00931EB4"/>
    <w:rsid w:val="00951266"/>
    <w:rsid w:val="00952617"/>
    <w:rsid w:val="00971608"/>
    <w:rsid w:val="00995FD3"/>
    <w:rsid w:val="009D121A"/>
    <w:rsid w:val="009D376B"/>
    <w:rsid w:val="009D3B62"/>
    <w:rsid w:val="009F35CD"/>
    <w:rsid w:val="00A04FDF"/>
    <w:rsid w:val="00A3427A"/>
    <w:rsid w:val="00A434D8"/>
    <w:rsid w:val="00A73D6A"/>
    <w:rsid w:val="00A82D44"/>
    <w:rsid w:val="00A93B78"/>
    <w:rsid w:val="00A95F46"/>
    <w:rsid w:val="00A96096"/>
    <w:rsid w:val="00AA6FA8"/>
    <w:rsid w:val="00AB5A74"/>
    <w:rsid w:val="00AC5E13"/>
    <w:rsid w:val="00AD0981"/>
    <w:rsid w:val="00AD2810"/>
    <w:rsid w:val="00AD48AA"/>
    <w:rsid w:val="00AF5F1F"/>
    <w:rsid w:val="00B4290E"/>
    <w:rsid w:val="00B65B9A"/>
    <w:rsid w:val="00B72D2E"/>
    <w:rsid w:val="00BA4139"/>
    <w:rsid w:val="00BB35C0"/>
    <w:rsid w:val="00BB53C3"/>
    <w:rsid w:val="00BC5161"/>
    <w:rsid w:val="00BD269B"/>
    <w:rsid w:val="00BD2BD5"/>
    <w:rsid w:val="00BD5E80"/>
    <w:rsid w:val="00BE62C2"/>
    <w:rsid w:val="00C05590"/>
    <w:rsid w:val="00C13569"/>
    <w:rsid w:val="00C161B2"/>
    <w:rsid w:val="00C22F5E"/>
    <w:rsid w:val="00C318F1"/>
    <w:rsid w:val="00C35E72"/>
    <w:rsid w:val="00C513AC"/>
    <w:rsid w:val="00C67FA4"/>
    <w:rsid w:val="00C71C23"/>
    <w:rsid w:val="00C82420"/>
    <w:rsid w:val="00CC3AA5"/>
    <w:rsid w:val="00CD107C"/>
    <w:rsid w:val="00CE22DD"/>
    <w:rsid w:val="00CF1813"/>
    <w:rsid w:val="00D35142"/>
    <w:rsid w:val="00D37D8A"/>
    <w:rsid w:val="00D44B61"/>
    <w:rsid w:val="00D615DA"/>
    <w:rsid w:val="00D74CF4"/>
    <w:rsid w:val="00DA733A"/>
    <w:rsid w:val="00DC15FD"/>
    <w:rsid w:val="00DC484A"/>
    <w:rsid w:val="00DE20B1"/>
    <w:rsid w:val="00E06D0C"/>
    <w:rsid w:val="00E13CF8"/>
    <w:rsid w:val="00E26FDE"/>
    <w:rsid w:val="00E354DA"/>
    <w:rsid w:val="00E47382"/>
    <w:rsid w:val="00E70F72"/>
    <w:rsid w:val="00E72B48"/>
    <w:rsid w:val="00E93A3B"/>
    <w:rsid w:val="00EA7A99"/>
    <w:rsid w:val="00ED10DF"/>
    <w:rsid w:val="00ED2C35"/>
    <w:rsid w:val="00EF0143"/>
    <w:rsid w:val="00EF08F6"/>
    <w:rsid w:val="00EF7592"/>
    <w:rsid w:val="00F12CE6"/>
    <w:rsid w:val="00F243EF"/>
    <w:rsid w:val="00F45AB1"/>
    <w:rsid w:val="00F45ABC"/>
    <w:rsid w:val="00F51B8E"/>
    <w:rsid w:val="00F70E06"/>
    <w:rsid w:val="00F84B06"/>
    <w:rsid w:val="00F87098"/>
    <w:rsid w:val="00F94C4D"/>
    <w:rsid w:val="00FA2EBD"/>
    <w:rsid w:val="00FA31C7"/>
    <w:rsid w:val="00FB27CC"/>
    <w:rsid w:val="00FC1A27"/>
    <w:rsid w:val="00FC3859"/>
    <w:rsid w:val="00FC4712"/>
    <w:rsid w:val="00FD1F51"/>
    <w:rsid w:val="00FF43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73B3418"/>
  <w15:chartTrackingRefBased/>
  <w15:docId w15:val="{C342DF9F-A620-4021-9E8F-6F6C83C1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numPr>
        <w:numId w:val="7"/>
      </w:numPr>
      <w:suppressAutoHyphens/>
      <w:spacing w:after="120" w:line="276" w:lineRule="auto"/>
      <w:ind w:left="0" w:right="57" w:firstLine="0"/>
      <w:jc w:val="both"/>
    </w:pPr>
    <w:rPr>
      <w:sz w:val="26"/>
      <w:szCs w:val="26"/>
      <w:lang w:eastAsia="zh-CN"/>
    </w:rPr>
  </w:style>
  <w:style w:type="paragraph" w:styleId="Titolo9">
    <w:name w:val="heading 9"/>
    <w:basedOn w:val="Normale"/>
    <w:next w:val="Normale"/>
    <w:qFormat/>
    <w:pPr>
      <w:keepNext/>
      <w:numPr>
        <w:ilvl w:val="8"/>
        <w:numId w:val="1"/>
      </w:numPr>
      <w:overflowPunct w:val="0"/>
      <w:autoSpaceDE w:val="0"/>
      <w:spacing w:line="360" w:lineRule="auto"/>
      <w:ind w:right="28" w:firstLine="284"/>
      <w:jc w:val="center"/>
      <w:textAlignment w:val="baseline"/>
      <w:outlineLvl w:val="8"/>
    </w:pPr>
    <w:rPr>
      <w:b/>
      <w:bCs/>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sz w:val="26"/>
      <w:szCs w:val="26"/>
      <w:lang w:eastAsia="it-I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bCs/>
      <w:sz w:val="26"/>
      <w:szCs w:val="26"/>
      <w:lang w:eastAsia="it-I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hint="default"/>
    </w:rPr>
  </w:style>
  <w:style w:type="character" w:customStyle="1" w:styleId="WW8Num23z1">
    <w:name w:val="WW8Num23z1"/>
    <w:rPr>
      <w:rFonts w:ascii="Wingdings" w:hAnsi="Wingdings" w:cs="Wingdings" w:hint="default"/>
    </w:rPr>
  </w:style>
  <w:style w:type="character" w:customStyle="1" w:styleId="WW8Num23z2">
    <w:name w:val="WW8Num23z2"/>
    <w:rPr>
      <w:rFonts w:ascii="Times New Roman" w:eastAsia="Times New Roman" w:hAnsi="Times New Roman" w:cs="Times New Roman" w:hint="default"/>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sz w:val="20"/>
    </w:rPr>
  </w:style>
  <w:style w:type="character" w:customStyle="1" w:styleId="WW8Num24z1">
    <w:name w:val="WW8Num24z1"/>
    <w:rPr>
      <w:rFonts w:ascii="Courier New" w:hAnsi="Courier New" w:cs="Courier New" w:hint="default"/>
      <w:sz w:val="20"/>
    </w:rPr>
  </w:style>
  <w:style w:type="character" w:customStyle="1" w:styleId="WW8Num24z2">
    <w:name w:val="WW8Num24z2"/>
    <w:rPr>
      <w:rFonts w:ascii="Wingdings" w:hAnsi="Wingdings" w:cs="Wingdings" w:hint="default"/>
      <w:sz w:val="20"/>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Caratterinotaapidipagina">
    <w:name w:val="Caratteri nota a piè di pagina"/>
    <w:rPr>
      <w:vertAlign w:val="superscript"/>
    </w:rPr>
  </w:style>
  <w:style w:type="character" w:customStyle="1" w:styleId="Rimandocommento1">
    <w:name w:val="Rimando commento1"/>
    <w:rPr>
      <w:sz w:val="16"/>
      <w:szCs w:val="16"/>
    </w:rPr>
  </w:style>
  <w:style w:type="character" w:customStyle="1" w:styleId="IntestazioneCarattere">
    <w:name w:val="Intestazione Carattere"/>
    <w:rPr>
      <w:sz w:val="26"/>
      <w:szCs w:val="26"/>
      <w:lang w:val="x-none"/>
    </w:rPr>
  </w:style>
  <w:style w:type="character" w:customStyle="1" w:styleId="PidipaginaCarattere">
    <w:name w:val="Piè di pagina Carattere"/>
    <w:uiPriority w:val="99"/>
    <w:rPr>
      <w:sz w:val="26"/>
      <w:szCs w:val="26"/>
      <w:lang w:val="x-none"/>
    </w:rPr>
  </w:style>
  <w:style w:type="character" w:customStyle="1" w:styleId="PreformattatoHTMLCarattere">
    <w:name w:val="Preformattato HTML Carattere"/>
    <w:rPr>
      <w:rFonts w:ascii="Courier New" w:hAnsi="Courier New" w:cs="Courier New"/>
      <w:lang w:val="x-none"/>
    </w:rPr>
  </w:style>
  <w:style w:type="character" w:styleId="Collegamentoipertestuale">
    <w:name w:val="Hyperlink"/>
    <w:rPr>
      <w:color w:val="0000FF"/>
      <w:u w:val="single"/>
    </w:rPr>
  </w:style>
  <w:style w:type="character" w:styleId="Enfasigrassetto">
    <w:name w:val="Strong"/>
    <w:qFormat/>
    <w:rPr>
      <w:b/>
      <w:bCs/>
    </w:rPr>
  </w:style>
  <w:style w:type="character" w:customStyle="1" w:styleId="TestonormaleCarattere">
    <w:name w:val="Testo normale Carattere"/>
    <w:rPr>
      <w:rFonts w:ascii="Calibri" w:eastAsia="Calibri" w:hAnsi="Calibri" w:cs="Calibri"/>
      <w:sz w:val="22"/>
      <w:szCs w:val="21"/>
    </w:rPr>
  </w:style>
  <w:style w:type="paragraph" w:customStyle="1" w:styleId="Titolo1">
    <w:name w:val="Titolo1"/>
    <w:basedOn w:val="Normale"/>
    <w:next w:val="Corpotesto"/>
    <w:pPr>
      <w:keepNext/>
      <w:spacing w:before="240"/>
    </w:pPr>
    <w:rPr>
      <w:rFonts w:ascii="Liberation Sans" w:eastAsia="Microsoft YaHei" w:hAnsi="Liberation Sans"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pPr>
    <w:rPr>
      <w:rFonts w:cs="Arial"/>
      <w:i/>
      <w:iCs/>
      <w:sz w:val="24"/>
      <w:szCs w:val="24"/>
    </w:rPr>
  </w:style>
  <w:style w:type="paragraph" w:customStyle="1" w:styleId="Indice">
    <w:name w:val="Indice"/>
    <w:basedOn w:val="Normale"/>
    <w:pPr>
      <w:suppressLineNumbers/>
    </w:pPr>
    <w:rPr>
      <w:rFonts w:cs="Arial"/>
    </w:rPr>
  </w:style>
  <w:style w:type="paragraph" w:styleId="Testofumetto">
    <w:name w:val="Balloon Text"/>
    <w:basedOn w:val="Normale"/>
    <w:rPr>
      <w:rFonts w:ascii="Tahoma" w:hAnsi="Tahoma" w:cs="Tahoma"/>
      <w:sz w:val="16"/>
      <w:szCs w:val="16"/>
    </w:rPr>
  </w:style>
  <w:style w:type="paragraph" w:customStyle="1" w:styleId="Corpodeltesto21">
    <w:name w:val="Corpo del testo 21"/>
    <w:basedOn w:val="Normale"/>
    <w:pPr>
      <w:tabs>
        <w:tab w:val="left" w:pos="284"/>
        <w:tab w:val="left" w:pos="1418"/>
      </w:tabs>
      <w:spacing w:line="360" w:lineRule="auto"/>
    </w:pPr>
    <w:rPr>
      <w:bCs/>
      <w:iCs/>
      <w:szCs w:val="20"/>
    </w:rPr>
  </w:style>
  <w:style w:type="paragraph" w:customStyle="1" w:styleId="Intestazioneepidipagina">
    <w:name w:val="Intestazione e piè di pagina"/>
    <w:basedOn w:val="Normale"/>
    <w:pPr>
      <w:suppressLineNumbers/>
      <w:tabs>
        <w:tab w:val="center" w:pos="4819"/>
        <w:tab w:val="right" w:pos="9638"/>
      </w:tabs>
    </w:pPr>
  </w:style>
  <w:style w:type="paragraph" w:styleId="Intestazione">
    <w:name w:val="header"/>
    <w:basedOn w:val="Normale"/>
    <w:pPr>
      <w:tabs>
        <w:tab w:val="center" w:pos="4819"/>
        <w:tab w:val="right" w:pos="9638"/>
      </w:tabs>
    </w:pPr>
    <w:rPr>
      <w:lang w:val="x-none"/>
    </w:rPr>
  </w:style>
  <w:style w:type="paragraph" w:styleId="Pidipagina">
    <w:name w:val="footer"/>
    <w:basedOn w:val="Normale"/>
    <w:uiPriority w:val="99"/>
    <w:pPr>
      <w:tabs>
        <w:tab w:val="center" w:pos="4819"/>
        <w:tab w:val="right" w:pos="9638"/>
      </w:tabs>
    </w:pPr>
    <w:rPr>
      <w:lang w:val="x-none"/>
    </w:rPr>
  </w:style>
  <w:style w:type="paragraph" w:customStyle="1" w:styleId="Rientrocorpodeltesto21">
    <w:name w:val="Rientro corpo del testo 21"/>
    <w:basedOn w:val="Normale"/>
    <w:pPr>
      <w:spacing w:line="480" w:lineRule="auto"/>
      <w:ind w:left="283"/>
    </w:pPr>
  </w:style>
  <w:style w:type="paragraph" w:styleId="PreformattatoHTML">
    <w:name w:val="HTML Preformatted"/>
    <w:basedOn w:val="Normale"/>
    <w:rPr>
      <w:rFonts w:ascii="Courier New" w:hAnsi="Courier New" w:cs="Courier New"/>
      <w:sz w:val="20"/>
      <w:szCs w:val="20"/>
      <w:lang w:val="x-none"/>
    </w:rPr>
  </w:style>
  <w:style w:type="paragraph" w:styleId="Testonotaapidipagina">
    <w:name w:val="footnote text"/>
    <w:basedOn w:val="Normale"/>
    <w:rPr>
      <w:sz w:val="20"/>
      <w:szCs w:val="20"/>
    </w:rPr>
  </w:style>
  <w:style w:type="paragraph" w:customStyle="1" w:styleId="Corpodeltesto22">
    <w:name w:val="Corpo del testo 22"/>
    <w:basedOn w:val="Normale"/>
    <w:pPr>
      <w:overflowPunct w:val="0"/>
      <w:autoSpaceDE w:val="0"/>
      <w:ind w:right="28" w:firstLine="709"/>
      <w:textAlignment w:val="baseline"/>
    </w:pPr>
    <w:rPr>
      <w:szCs w:val="20"/>
    </w:rPr>
  </w:style>
  <w:style w:type="paragraph" w:customStyle="1" w:styleId="Testocommento1">
    <w:name w:val="Testo commento1"/>
    <w:basedOn w:val="Normale"/>
    <w:rPr>
      <w:sz w:val="20"/>
      <w:szCs w:val="20"/>
    </w:rPr>
  </w:style>
  <w:style w:type="paragraph" w:styleId="Soggettocommento">
    <w:name w:val="annotation subject"/>
    <w:basedOn w:val="Testocommento1"/>
    <w:next w:val="Testocommento1"/>
    <w:rPr>
      <w:b/>
      <w:bCs/>
    </w:rPr>
  </w:style>
  <w:style w:type="paragraph" w:customStyle="1" w:styleId="Style2">
    <w:name w:val="Style 2"/>
    <w:pPr>
      <w:widowControl w:val="0"/>
      <w:suppressAutoHyphens/>
      <w:autoSpaceDE w:val="0"/>
    </w:pPr>
    <w:rPr>
      <w:lang w:eastAsia="zh-CN"/>
    </w:rPr>
  </w:style>
  <w:style w:type="paragraph" w:styleId="Paragrafoelenco">
    <w:name w:val="List Paragraph"/>
    <w:basedOn w:val="Normale"/>
    <w:uiPriority w:val="34"/>
    <w:qFormat/>
    <w:pPr>
      <w:ind w:left="720"/>
    </w:pPr>
    <w:rPr>
      <w:rFonts w:ascii="Calibri" w:eastAsia="Calibri" w:hAnsi="Calibri" w:cs="Calibri"/>
      <w:sz w:val="22"/>
      <w:szCs w:val="22"/>
    </w:rPr>
  </w:style>
  <w:style w:type="paragraph" w:styleId="Revisione">
    <w:name w:val="Revision"/>
    <w:pPr>
      <w:suppressAutoHyphens/>
    </w:pPr>
    <w:rPr>
      <w:sz w:val="24"/>
      <w:szCs w:val="24"/>
      <w:lang w:eastAsia="zh-CN"/>
    </w:rPr>
  </w:style>
  <w:style w:type="paragraph" w:styleId="NormaleWeb">
    <w:name w:val="Normal (Web)"/>
    <w:basedOn w:val="Normale"/>
    <w:pPr>
      <w:spacing w:before="280" w:after="280"/>
    </w:pPr>
  </w:style>
  <w:style w:type="paragraph" w:customStyle="1" w:styleId="Testonormale1">
    <w:name w:val="Testo normale1"/>
    <w:basedOn w:val="Normale"/>
    <w:pPr>
      <w:numPr>
        <w:numId w:val="0"/>
      </w:numPr>
      <w:spacing w:after="0" w:line="240" w:lineRule="auto"/>
      <w:ind w:right="0"/>
      <w:jc w:val="left"/>
    </w:pPr>
    <w:rPr>
      <w:rFonts w:ascii="Calibri" w:eastAsia="Calibri" w:hAnsi="Calibri"/>
      <w:sz w:val="22"/>
      <w:szCs w:val="21"/>
    </w:rPr>
  </w:style>
  <w:style w:type="paragraph" w:customStyle="1" w:styleId="linkcontenuti">
    <w:name w:val="link_contenuti"/>
    <w:basedOn w:val="Paragrafoelenco"/>
    <w:pPr>
      <w:numPr>
        <w:numId w:val="2"/>
      </w:numPr>
      <w:spacing w:after="0" w:line="240" w:lineRule="auto"/>
      <w:ind w:left="0" w:right="0" w:firstLine="0"/>
      <w:contextualSpacing/>
    </w:pPr>
    <w:rPr>
      <w:rFonts w:ascii="Titillium Web" w:eastAsia="Times New Roman" w:hAnsi="Titillium Web" w:cs="Titillium Web"/>
      <w:sz w:val="20"/>
      <w:szCs w:val="24"/>
    </w:rPr>
  </w:style>
  <w:style w:type="paragraph" w:customStyle="1" w:styleId="Standard">
    <w:name w:val="Standard"/>
    <w:pPr>
      <w:suppressAutoHyphens/>
      <w:textAlignment w:val="baseline"/>
    </w:pPr>
    <w:rPr>
      <w:kern w:val="2"/>
      <w:sz w:val="24"/>
      <w:szCs w:val="24"/>
      <w:lang w:eastAsia="zh-CN"/>
    </w:rPr>
  </w:style>
  <w:style w:type="paragraph" w:customStyle="1" w:styleId="Default">
    <w:name w:val="Default"/>
    <w:pPr>
      <w:suppressAutoHyphens/>
      <w:autoSpaceDE w:val="0"/>
    </w:pPr>
    <w:rPr>
      <w:rFonts w:ascii="Times New Roman PSMT" w:hAnsi="Times New Roman PSMT" w:cs="Times New Roman PSMT"/>
      <w:color w:val="000000"/>
      <w:sz w:val="24"/>
      <w:szCs w:val="24"/>
      <w:lang w:eastAsia="zh-CN"/>
    </w:rPr>
  </w:style>
  <w:style w:type="paragraph" w:customStyle="1" w:styleId="Contenutotabella">
    <w:name w:val="Contenuto tabella"/>
    <w:basedOn w:val="Normale"/>
    <w:pPr>
      <w:widowControl w:val="0"/>
      <w:suppressLineNumbers/>
    </w:pPr>
  </w:style>
  <w:style w:type="paragraph" w:customStyle="1" w:styleId="Titolotabella">
    <w:name w:val="Titolo tabella"/>
    <w:basedOn w:val="Contenutotabel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08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2115</Words>
  <Characters>12056</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Verbale di riunione della Commissione per la disapplicazione delle norme antielusive della</vt:lpstr>
    </vt:vector>
  </TitlesOfParts>
  <Company>Agenzia delle Entrate</Company>
  <LinksUpToDate>false</LinksUpToDate>
  <CharactersWithSpaces>14143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di riunione della Commissione per la disapplicazione delle norme antielusive della</dc:title>
  <dc:subject/>
  <dc:creator>Agenzia delle Entrate</dc:creator>
  <cp:keywords/>
  <cp:lastModifiedBy>AURICCHIO CHRISTIAN</cp:lastModifiedBy>
  <cp:revision>3</cp:revision>
  <cp:lastPrinted>2021-12-20T16:53:00Z</cp:lastPrinted>
  <dcterms:created xsi:type="dcterms:W3CDTF">2022-03-03T10:21:00Z</dcterms:created>
  <dcterms:modified xsi:type="dcterms:W3CDTF">2022-03-03T17:05:00Z</dcterms:modified>
</cp:coreProperties>
</file>